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989" w:rightChars="-471"/>
        <w:jc w:val="center"/>
        <w:rPr>
          <w:rFonts w:ascii="黑体" w:hAnsi="黑体" w:eastAsia="黑体"/>
          <w:b/>
          <w:bCs/>
          <w:sz w:val="36"/>
          <w:szCs w:val="36"/>
        </w:rPr>
      </w:pPr>
      <w:r>
        <w:rPr>
          <w:rFonts w:hint="eastAsia" w:ascii="黑体" w:hAnsi="黑体" w:eastAsia="黑体" w:cs="黑体"/>
          <w:b/>
          <w:bCs/>
          <w:sz w:val="36"/>
          <w:szCs w:val="36"/>
        </w:rPr>
        <w:t>药学专业本科培养计划</w:t>
      </w:r>
    </w:p>
    <w:p>
      <w:pPr>
        <w:ind w:right="-989" w:rightChars="-471"/>
        <w:jc w:val="center"/>
        <w:rPr>
          <w:rFonts w:ascii="Times New Roman" w:hAnsi="Times New Roman" w:cs="黑体"/>
          <w:b/>
          <w:bCs/>
          <w:sz w:val="44"/>
          <w:szCs w:val="44"/>
        </w:rPr>
      </w:pPr>
      <w:r>
        <w:rPr>
          <w:rFonts w:hint="eastAsia" w:ascii="黑体" w:hAnsi="黑体" w:eastAsia="黑体" w:cs="黑体"/>
          <w:b/>
          <w:bCs/>
          <w:sz w:val="36"/>
          <w:szCs w:val="36"/>
        </w:rPr>
        <w:t>（20</w:t>
      </w:r>
      <w:r>
        <w:rPr>
          <w:rFonts w:ascii="黑体" w:hAnsi="黑体" w:eastAsia="黑体" w:cs="黑体"/>
          <w:b/>
          <w:bCs/>
          <w:sz w:val="36"/>
          <w:szCs w:val="36"/>
        </w:rPr>
        <w:t>20</w:t>
      </w:r>
      <w:r>
        <w:rPr>
          <w:rFonts w:hint="eastAsia" w:ascii="黑体" w:hAnsi="黑体" w:eastAsia="黑体" w:cs="黑体"/>
          <w:b/>
          <w:bCs/>
          <w:sz w:val="36"/>
          <w:szCs w:val="36"/>
        </w:rPr>
        <w:t>版）</w:t>
      </w:r>
    </w:p>
    <w:p>
      <w:pPr>
        <w:spacing w:before="240" w:after="240"/>
        <w:rPr>
          <w:rFonts w:ascii="Times New Roman" w:hAnsi="Times New Roman"/>
          <w:b/>
          <w:bCs/>
          <w:sz w:val="28"/>
          <w:szCs w:val="28"/>
        </w:rPr>
      </w:pPr>
      <w:r>
        <w:rPr>
          <w:rFonts w:hint="eastAsia" w:ascii="黑体" w:hAnsi="黑体" w:eastAsia="黑体"/>
          <w:sz w:val="24"/>
        </w:rPr>
        <w:t>一、专业名称（中英文）</w:t>
      </w:r>
    </w:p>
    <w:p>
      <w:pPr>
        <w:widowControl/>
        <w:spacing w:line="360" w:lineRule="auto"/>
        <w:ind w:firstLine="480" w:firstLineChars="200"/>
        <w:rPr>
          <w:rFonts w:ascii="Times New Roman" w:hAnsi="Times New Roman" w:cs="宋体"/>
          <w:kern w:val="0"/>
          <w:sz w:val="24"/>
        </w:rPr>
      </w:pPr>
      <w:r>
        <w:rPr>
          <w:rFonts w:hint="eastAsia" w:ascii="Times New Roman" w:hAnsi="Times New Roman" w:cs="宋体"/>
          <w:kern w:val="0"/>
          <w:sz w:val="24"/>
        </w:rPr>
        <w:t>药学（</w:t>
      </w:r>
      <w:r>
        <w:rPr>
          <w:rFonts w:ascii="Times New Roman" w:hAnsi="Times New Roman" w:cs="宋体"/>
          <w:kern w:val="0"/>
          <w:sz w:val="24"/>
        </w:rPr>
        <w:t>Pharmacy</w:t>
      </w:r>
      <w:r>
        <w:rPr>
          <w:rFonts w:hint="eastAsia" w:ascii="Times New Roman" w:hAnsi="Times New Roman" w:cs="宋体"/>
          <w:kern w:val="0"/>
          <w:sz w:val="24"/>
        </w:rPr>
        <w:t>）</w:t>
      </w:r>
    </w:p>
    <w:p>
      <w:pPr>
        <w:widowControl/>
        <w:spacing w:before="240" w:after="240" w:line="360" w:lineRule="auto"/>
        <w:rPr>
          <w:rFonts w:ascii="Times New Roman" w:hAnsi="Times New Roman" w:cs="宋体"/>
          <w:b/>
          <w:kern w:val="0"/>
          <w:sz w:val="24"/>
        </w:rPr>
      </w:pPr>
      <w:r>
        <w:rPr>
          <w:rFonts w:hint="eastAsia" w:ascii="黑体" w:hAnsi="黑体" w:eastAsia="黑体"/>
          <w:b/>
          <w:sz w:val="24"/>
        </w:rPr>
        <w:t>二、专业代码</w:t>
      </w:r>
    </w:p>
    <w:p>
      <w:pPr>
        <w:widowControl/>
        <w:spacing w:line="360" w:lineRule="auto"/>
        <w:rPr>
          <w:rFonts w:ascii="Times New Roman" w:hAnsi="Times New Roman" w:cs="宋体"/>
          <w:b/>
          <w:kern w:val="0"/>
          <w:sz w:val="24"/>
        </w:rPr>
      </w:pPr>
      <w:r>
        <w:rPr>
          <w:rFonts w:hint="eastAsia" w:ascii="宋体" w:hAnsi="宋体" w:cs="宋体"/>
          <w:b/>
          <w:kern w:val="0"/>
          <w:sz w:val="24"/>
        </w:rPr>
        <w:t>（一）专业代码：</w:t>
      </w:r>
      <w:r>
        <w:rPr>
          <w:rFonts w:ascii="宋体" w:hAnsi="宋体" w:cs="宋体"/>
          <w:b/>
          <w:kern w:val="0"/>
          <w:sz w:val="24"/>
        </w:rPr>
        <w:t>100701</w:t>
      </w:r>
      <w:r>
        <w:rPr>
          <w:rFonts w:hint="eastAsia" w:ascii="Times New Roman" w:hAnsi="Times New Roman" w:cs="宋体"/>
          <w:b/>
          <w:kern w:val="0"/>
          <w:sz w:val="24"/>
        </w:rPr>
        <w:t>；</w:t>
      </w:r>
      <w:r>
        <w:rPr>
          <w:rFonts w:ascii="Times New Roman" w:hAnsi="Times New Roman" w:cs="宋体"/>
          <w:b/>
          <w:kern w:val="0"/>
          <w:sz w:val="24"/>
        </w:rPr>
        <w:t xml:space="preserve"> </w:t>
      </w:r>
    </w:p>
    <w:p>
      <w:pPr>
        <w:widowControl/>
        <w:spacing w:line="360" w:lineRule="auto"/>
        <w:rPr>
          <w:rFonts w:ascii="Times New Roman" w:hAnsi="Times New Roman" w:cs="宋体"/>
          <w:kern w:val="0"/>
          <w:sz w:val="24"/>
        </w:rPr>
      </w:pPr>
      <w:bookmarkStart w:id="0" w:name="_Toc475493074"/>
      <w:bookmarkStart w:id="1" w:name="_Toc436907732"/>
      <w:r>
        <w:rPr>
          <w:rFonts w:hint="eastAsia" w:ascii="宋体" w:hAnsi="宋体" w:cs="宋体"/>
          <w:b/>
          <w:kern w:val="0"/>
          <w:sz w:val="24"/>
        </w:rPr>
        <w:t>（二）专业学制：</w:t>
      </w:r>
      <w:bookmarkEnd w:id="0"/>
      <w:bookmarkEnd w:id="1"/>
      <w:r>
        <w:rPr>
          <w:rFonts w:hint="eastAsia" w:ascii="Times New Roman" w:hAnsi="Times New Roman" w:cs="宋体"/>
          <w:kern w:val="0"/>
          <w:sz w:val="24"/>
        </w:rPr>
        <w:t>本专业学制4年，按照学分制管理，最长修业年限6年。</w:t>
      </w:r>
    </w:p>
    <w:p>
      <w:pPr>
        <w:spacing w:before="240" w:beforeLines="100" w:after="240" w:afterLines="100" w:line="288" w:lineRule="auto"/>
        <w:rPr>
          <w:rFonts w:ascii="黑体" w:hAnsi="黑体" w:eastAsia="黑体" w:cs="宋体"/>
          <w:b/>
          <w:kern w:val="0"/>
          <w:sz w:val="24"/>
        </w:rPr>
      </w:pPr>
      <w:r>
        <w:rPr>
          <w:rFonts w:hint="eastAsia" w:ascii="黑体" w:hAnsi="黑体" w:eastAsia="黑体" w:cs="宋体"/>
          <w:b/>
          <w:kern w:val="0"/>
          <w:sz w:val="24"/>
        </w:rPr>
        <w:t>三、授予学位</w:t>
      </w:r>
    </w:p>
    <w:p>
      <w:pPr>
        <w:widowControl/>
        <w:spacing w:line="360" w:lineRule="auto"/>
        <w:ind w:firstLine="480" w:firstLineChars="200"/>
        <w:rPr>
          <w:rFonts w:ascii="Times New Roman" w:hAnsi="Times New Roman" w:cs="宋体"/>
          <w:kern w:val="0"/>
          <w:sz w:val="24"/>
        </w:rPr>
      </w:pPr>
      <w:r>
        <w:rPr>
          <w:rFonts w:hint="eastAsia" w:ascii="Times New Roman" w:hAnsi="Times New Roman" w:cs="宋体"/>
          <w:kern w:val="0"/>
          <w:sz w:val="24"/>
        </w:rPr>
        <w:t>授予理学学士</w:t>
      </w:r>
    </w:p>
    <w:p>
      <w:pPr>
        <w:spacing w:before="240" w:beforeLines="100" w:after="240" w:afterLines="100" w:line="288" w:lineRule="auto"/>
        <w:rPr>
          <w:rFonts w:ascii="黑体" w:hAnsi="黑体" w:eastAsia="黑体" w:cs="宋体"/>
          <w:b/>
          <w:kern w:val="0"/>
          <w:sz w:val="24"/>
        </w:rPr>
      </w:pPr>
      <w:r>
        <w:rPr>
          <w:rFonts w:hint="eastAsia" w:ascii="黑体" w:hAnsi="黑体" w:eastAsia="黑体" w:cs="宋体"/>
          <w:b/>
          <w:kern w:val="0"/>
          <w:sz w:val="24"/>
        </w:rPr>
        <w:t>四、专业简介、专业特色及校外培养形式</w:t>
      </w:r>
    </w:p>
    <w:p>
      <w:pPr>
        <w:widowControl/>
        <w:spacing w:line="360" w:lineRule="auto"/>
        <w:rPr>
          <w:rFonts w:ascii="宋体" w:hAnsi="宋体" w:cs="宋体"/>
          <w:b/>
          <w:kern w:val="0"/>
          <w:sz w:val="24"/>
        </w:rPr>
      </w:pPr>
      <w:r>
        <w:rPr>
          <w:rFonts w:hint="eastAsia" w:ascii="宋体" w:hAnsi="宋体" w:cs="宋体"/>
          <w:b/>
          <w:kern w:val="0"/>
          <w:sz w:val="24"/>
        </w:rPr>
        <w:t>（一）专业简介</w:t>
      </w:r>
    </w:p>
    <w:p>
      <w:pPr>
        <w:widowControl/>
        <w:spacing w:before="120" w:beforeLines="50" w:after="120" w:afterLines="50" w:line="288" w:lineRule="auto"/>
        <w:ind w:firstLine="480" w:firstLineChars="200"/>
        <w:rPr>
          <w:rFonts w:ascii="Times New Roman" w:hAnsi="Times New Roman" w:cs="宋体"/>
          <w:strike/>
          <w:kern w:val="0"/>
          <w:sz w:val="24"/>
        </w:rPr>
      </w:pPr>
      <w:r>
        <w:rPr>
          <w:rFonts w:hint="eastAsia" w:ascii="Times New Roman" w:hAnsi="Times New Roman" w:cs="宋体"/>
          <w:kern w:val="0"/>
          <w:sz w:val="24"/>
        </w:rPr>
        <w:t>广西大学于2016年12月2</w:t>
      </w:r>
      <w:r>
        <w:rPr>
          <w:rFonts w:ascii="Times New Roman" w:hAnsi="Times New Roman" w:cs="宋体"/>
          <w:kern w:val="0"/>
          <w:sz w:val="24"/>
        </w:rPr>
        <w:t>8</w:t>
      </w:r>
      <w:r>
        <w:rPr>
          <w:rFonts w:hint="eastAsia" w:ascii="Times New Roman" w:hAnsi="Times New Roman" w:cs="宋体"/>
          <w:kern w:val="0"/>
          <w:sz w:val="24"/>
        </w:rPr>
        <w:t>日正式成立医学院，以满足建设综合性研究型大学的需要。药学专业2</w:t>
      </w:r>
      <w:r>
        <w:rPr>
          <w:rFonts w:ascii="Times New Roman" w:hAnsi="Times New Roman" w:cs="宋体"/>
          <w:kern w:val="0"/>
          <w:sz w:val="24"/>
        </w:rPr>
        <w:t>019年开始招</w:t>
      </w:r>
      <w:r>
        <w:rPr>
          <w:rFonts w:hint="eastAsia" w:ascii="Times New Roman" w:hAnsi="Times New Roman" w:cs="宋体"/>
          <w:kern w:val="0"/>
          <w:sz w:val="24"/>
        </w:rPr>
        <w:t>生，</w:t>
      </w:r>
      <w:r>
        <w:rPr>
          <w:rFonts w:ascii="Times New Roman" w:hAnsi="Times New Roman" w:cs="宋体"/>
          <w:kern w:val="0"/>
          <w:sz w:val="24"/>
        </w:rPr>
        <w:t>与医学院中</w:t>
      </w:r>
      <w:r>
        <w:rPr>
          <w:rFonts w:hint="eastAsia" w:ascii="Times New Roman" w:hAnsi="Times New Roman" w:cs="宋体"/>
          <w:kern w:val="0"/>
          <w:sz w:val="24"/>
        </w:rPr>
        <w:t>具有多年办学历史的制药工程专业以及生物制药专业形成很好的交叉和互补优势。药学专业根据学校“立足广西，服务全国，辐射东盟，面向世界，培养德智体美劳全面发展，具有社会责任感、法治意识、创新精神、实践能力和国际视野的领军型、创新型、复合型高素质人才”的培养目标和“高水平、有特色”的办学要求，基于“重基础，厚实践”的理念制定和实施人才培养方案，通过交叉融合学科知识，紧密结合理论课程与实验教学构建教学体系，培养新型医药人才。从“回归常识，回归本分，回归初心，回归梦想”出发，课程思政教育涵盖全过程，企业和行业协同，实践三育人。</w:t>
      </w:r>
    </w:p>
    <w:p>
      <w:pPr>
        <w:widowControl/>
        <w:spacing w:line="360" w:lineRule="auto"/>
        <w:rPr>
          <w:rFonts w:ascii="Times New Roman" w:hAnsi="Times New Roman" w:cs="宋体"/>
          <w:b/>
          <w:kern w:val="0"/>
          <w:sz w:val="24"/>
        </w:rPr>
      </w:pPr>
      <w:r>
        <w:rPr>
          <w:rFonts w:hint="eastAsia" w:ascii="Times New Roman" w:hAnsi="Times New Roman" w:cs="宋体"/>
          <w:b/>
          <w:kern w:val="0"/>
          <w:sz w:val="24"/>
        </w:rPr>
        <w:t>（二）专业特色</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本专业以药物化学、药剂学为主要专业方向，与国内同专业相比，具有如下特点：</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1、学科特色鲜明：针对广西常见病多发病，从分子水平进行药物分子设计，通过化学或生物修饰，与药理学相结合，研究合成与构效关系，发现先导化合物。</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2、专业优势突出：化学、生物学、药学</w:t>
      </w:r>
      <w:r>
        <w:rPr>
          <w:rFonts w:ascii="Times New Roman" w:hAnsi="Times New Roman" w:cs="宋体"/>
          <w:kern w:val="0"/>
          <w:sz w:val="24"/>
        </w:rPr>
        <w:t>(</w:t>
      </w:r>
      <w:r>
        <w:rPr>
          <w:rFonts w:hint="eastAsia" w:ascii="Times New Roman" w:hAnsi="Times New Roman" w:cs="宋体"/>
          <w:kern w:val="0"/>
          <w:sz w:val="24"/>
        </w:rPr>
        <w:t>中药学</w:t>
      </w:r>
      <w:r>
        <w:rPr>
          <w:rFonts w:ascii="Times New Roman" w:hAnsi="Times New Roman" w:cs="宋体"/>
          <w:kern w:val="0"/>
          <w:sz w:val="24"/>
        </w:rPr>
        <w:t>)</w:t>
      </w:r>
      <w:r>
        <w:rPr>
          <w:rFonts w:hint="eastAsia" w:ascii="Times New Roman" w:hAnsi="Times New Roman" w:cs="宋体"/>
          <w:kern w:val="0"/>
          <w:sz w:val="24"/>
        </w:rPr>
        <w:t>交叉融合，培养药物研发、药品新制剂开发和设计人才。</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3、强化实践训练：构建多层次实践教学及科研实训等实践体系，训练提高学生的药学实践技能和科学研究素质。</w:t>
      </w:r>
    </w:p>
    <w:p>
      <w:pPr>
        <w:widowControl/>
        <w:spacing w:line="360" w:lineRule="auto"/>
        <w:rPr>
          <w:rFonts w:ascii="Times New Roman" w:hAnsi="Times New Roman" w:cs="宋体"/>
          <w:b/>
          <w:kern w:val="0"/>
          <w:sz w:val="24"/>
        </w:rPr>
      </w:pPr>
      <w:r>
        <w:rPr>
          <w:rFonts w:hint="eastAsia" w:ascii="Times New Roman" w:hAnsi="Times New Roman" w:cs="宋体"/>
          <w:b/>
          <w:kern w:val="0"/>
          <w:sz w:val="24"/>
        </w:rPr>
        <w:t>（三）校外培养形式</w:t>
      </w:r>
    </w:p>
    <w:p>
      <w:pPr>
        <w:widowControl/>
        <w:spacing w:before="120" w:beforeLines="50" w:after="120" w:afterLines="50" w:line="288" w:lineRule="auto"/>
        <w:ind w:firstLine="480" w:firstLineChars="200"/>
        <w:rPr>
          <w:rStyle w:val="32"/>
          <w:rFonts w:ascii="Times New Roman" w:hAnsi="Times New Roman" w:cs="宋体"/>
          <w:kern w:val="0"/>
          <w:sz w:val="24"/>
          <w:shd w:val="clear" w:color="auto" w:fill="auto"/>
        </w:rPr>
      </w:pPr>
      <w:r>
        <w:rPr>
          <w:rFonts w:hint="eastAsia" w:ascii="Times New Roman" w:hAnsi="Times New Roman" w:cs="宋体"/>
          <w:kern w:val="0"/>
          <w:sz w:val="24"/>
        </w:rPr>
        <w:t>为融合德育教育，开阔学生视野，培养能力，提高综合素质，通过与教学实践基地等校外单位合作，开展多种形式的校外活动。在教师启发引导和指导下，学生可以根据自己的兴趣爱好和现有知识水平选择参加不同的活动，包括但不仅包括校外实践活动、学科活动、科技活动、文学艺术活动、体育活动、社会公益劳动、课外阅读活动、研学调查等。校外培养应与学校教育互为补充，相得益彰。</w:t>
      </w:r>
    </w:p>
    <w:p>
      <w:pPr>
        <w:widowControl/>
        <w:spacing w:before="240" w:after="240" w:line="360" w:lineRule="auto"/>
        <w:rPr>
          <w:rFonts w:ascii="黑体" w:hAnsi="黑体" w:eastAsia="黑体" w:cs="宋体"/>
          <w:b/>
          <w:kern w:val="0"/>
          <w:sz w:val="24"/>
        </w:rPr>
      </w:pPr>
      <w:r>
        <w:rPr>
          <w:rFonts w:hint="eastAsia" w:ascii="黑体" w:hAnsi="黑体" w:eastAsia="黑体" w:cs="宋体"/>
          <w:b/>
          <w:kern w:val="0"/>
          <w:sz w:val="24"/>
        </w:rPr>
        <w:t>五、培养目标</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本专业培养适应我国医药事业发展需要，德、智、体、美、劳全面，具备化学、生物学、药学和医学的基础理论、基本知识和实验技能，接受相关理论研究、科研开发和管理能力训练，能够从事药物及制剂的研发、制备、测试分析、质量控制和药物管理、流通等药学服务领域工作的高级领军型人才。</w:t>
      </w:r>
    </w:p>
    <w:p>
      <w:pPr>
        <w:widowControl/>
        <w:spacing w:before="120" w:beforeLines="50" w:after="120" w:afterLines="50" w:line="288" w:lineRule="auto"/>
        <w:ind w:firstLine="480" w:firstLineChars="200"/>
        <w:rPr>
          <w:rFonts w:ascii="Times New Roman" w:hAnsi="Times New Roman" w:cs="宋体"/>
          <w:kern w:val="0"/>
          <w:sz w:val="24"/>
        </w:rPr>
      </w:pPr>
      <w:r>
        <w:rPr>
          <w:rFonts w:ascii="Times New Roman" w:hAnsi="Times New Roman" w:cs="宋体"/>
          <w:kern w:val="0"/>
          <w:sz w:val="24"/>
        </w:rPr>
        <w:t>毕业五年左右</w:t>
      </w:r>
      <w:r>
        <w:rPr>
          <w:rFonts w:hint="eastAsia" w:ascii="Times New Roman" w:hAnsi="Times New Roman" w:cs="宋体"/>
          <w:kern w:val="0"/>
          <w:sz w:val="24"/>
        </w:rPr>
        <w:t>达到以下具体目标：</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目标1：能有效运用专业知识和专业技能解决药学领域中药物及制剂的研发、制备、测试分析、质量控制等复杂问题；</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目标2：具有较好的创新意识和管理能力，成为药学及相关领域的科研、技术骨干或管理人员；</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目标3：勤恳朴诚，具备良好的人文社会科学素养和强烈的社会责任感，在实际工作中能够考虑社会、健康、安全、法律、文化及环境等因素，理解并遵守职业道德和规范；</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目标4：具有国际化视野，能与国内外同行、专业的客户和公众有效沟通，能够通过终身学习适应职业发展，并在团队工作和交流中担任骨干或领导角色。</w:t>
      </w:r>
    </w:p>
    <w:p>
      <w:pPr>
        <w:widowControl/>
        <w:spacing w:before="240" w:after="240" w:line="360" w:lineRule="auto"/>
        <w:rPr>
          <w:rFonts w:ascii="黑体" w:hAnsi="黑体" w:eastAsia="黑体" w:cs="宋体"/>
          <w:b/>
          <w:kern w:val="0"/>
          <w:sz w:val="24"/>
        </w:rPr>
      </w:pPr>
      <w:r>
        <w:rPr>
          <w:rFonts w:hint="eastAsia" w:ascii="黑体" w:hAnsi="黑体" w:eastAsia="黑体" w:cs="宋体"/>
          <w:b/>
          <w:kern w:val="0"/>
          <w:sz w:val="24"/>
        </w:rPr>
        <w:t>六、毕业要求（培养标准）</w:t>
      </w:r>
    </w:p>
    <w:p>
      <w:pPr>
        <w:widowControl/>
        <w:spacing w:before="120" w:beforeLines="50" w:after="120" w:afterLines="50" w:line="288" w:lineRule="auto"/>
        <w:ind w:firstLine="480" w:firstLineChars="200"/>
        <w:rPr>
          <w:rFonts w:ascii="Times New Roman" w:hAnsi="Times New Roman"/>
          <w:sz w:val="24"/>
        </w:rPr>
      </w:pPr>
      <w:r>
        <w:rPr>
          <w:rFonts w:ascii="Times New Roman" w:hAnsi="Times New Roman"/>
          <w:kern w:val="0"/>
          <w:sz w:val="24"/>
        </w:rPr>
        <w:t>本专业学生主要学习药学各主要分支学科的基本理论和基本知识，接受药学实验方法和技能的基本训练。本专业学生应获得以下几方面的知识和能力：</w:t>
      </w:r>
    </w:p>
    <w:p>
      <w:pPr>
        <w:widowControl/>
        <w:spacing w:before="120" w:beforeLines="50" w:after="120" w:afterLines="50" w:line="288" w:lineRule="auto"/>
        <w:ind w:firstLine="482" w:firstLineChars="200"/>
        <w:rPr>
          <w:rFonts w:ascii="宋体" w:hAnsi="宋体"/>
          <w:b/>
          <w:kern w:val="0"/>
          <w:sz w:val="24"/>
        </w:rPr>
      </w:pPr>
      <w:r>
        <w:rPr>
          <w:rFonts w:ascii="宋体" w:hAnsi="宋体"/>
          <w:b/>
          <w:kern w:val="0"/>
          <w:sz w:val="24"/>
        </w:rPr>
        <w:t>A.知识架构：学生应具有广泛的自然科学与必要的人文社会科学领域知识积累，系统掌握化学、生物学、药学、相关医学、药物制剂技术的基本理论、基本知识。</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A1 人文科学知识：学生应掌握一定的人文社会科学领域的基本常识。学习文学、史学、哲学、艺术、经济</w:t>
      </w:r>
      <w:r>
        <w:rPr>
          <w:rFonts w:hint="eastAsia" w:ascii="Times New Roman" w:hAnsi="Times New Roman"/>
          <w:kern w:val="0"/>
          <w:sz w:val="24"/>
        </w:rPr>
        <w:t>、</w:t>
      </w:r>
      <w:r>
        <w:rPr>
          <w:rFonts w:ascii="Times New Roman" w:hAnsi="Times New Roman"/>
          <w:kern w:val="0"/>
          <w:sz w:val="24"/>
        </w:rPr>
        <w:t>创业等方面的知识。熟练掌握一门外语，可运用其进行基本的交流。</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A2 自然科学基础知识：学生应系统掌握与药学相关的数学、物理学、化学、生物学等自然科学基础知识以及计算机技术。掌握科学的思维方法、基本分析方法和技能。</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A3 药学相关的核心基础知识：系统学习药学核心知识，系统掌握化学、生物学、医学的基本理论和研究方法</w:t>
      </w:r>
      <w:r>
        <w:rPr>
          <w:rFonts w:hint="eastAsia" w:ascii="Times New Roman" w:hAnsi="Times New Roman"/>
          <w:kern w:val="0"/>
          <w:sz w:val="24"/>
        </w:rPr>
        <w:t>。</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A4 药学相关的专业知识：有选择性地学习特定领域的专业化理论知识，熟悉国家对于药物生产、设计、研究与开发、环境保护等方面的方针、政策和法规，实现对药事管理、医药专利、新药研究与开发、对药品新资源、新产品进行研究、开发和设计等某个特定领域专业知识的熟练和精通。</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A5 药学领域前沿知识：学生应了解药学的理论前沿，了解药物研发新方法</w:t>
      </w:r>
      <w:r>
        <w:rPr>
          <w:rFonts w:hint="eastAsia" w:ascii="Times New Roman" w:hAnsi="Times New Roman"/>
          <w:kern w:val="0"/>
          <w:sz w:val="24"/>
        </w:rPr>
        <w:t>、</w:t>
      </w:r>
      <w:r>
        <w:rPr>
          <w:rFonts w:ascii="Times New Roman" w:hAnsi="Times New Roman"/>
          <w:kern w:val="0"/>
          <w:sz w:val="24"/>
        </w:rPr>
        <w:t>药物制剂新技术的发展动态，具备开阔的国际视野。</w:t>
      </w:r>
    </w:p>
    <w:p>
      <w:pPr>
        <w:widowControl/>
        <w:spacing w:before="120" w:beforeLines="50" w:after="120" w:afterLines="50" w:line="288" w:lineRule="auto"/>
        <w:ind w:firstLine="482" w:firstLineChars="200"/>
        <w:rPr>
          <w:rFonts w:ascii="宋体" w:hAnsi="宋体"/>
          <w:b/>
          <w:kern w:val="0"/>
          <w:sz w:val="24"/>
        </w:rPr>
      </w:pPr>
      <w:r>
        <w:rPr>
          <w:rFonts w:ascii="宋体" w:hAnsi="宋体"/>
          <w:b/>
          <w:kern w:val="0"/>
          <w:sz w:val="24"/>
        </w:rPr>
        <w:t>B.能力要求：学生应当具有较强的学习能力、逻辑分析判断能力、解决问题能力以及良好的写作能力，能熟练地将所学知识应用于新药</w:t>
      </w:r>
      <w:r>
        <w:rPr>
          <w:rFonts w:hint="eastAsia" w:ascii="宋体" w:hAnsi="宋体"/>
          <w:b/>
          <w:kern w:val="0"/>
          <w:sz w:val="24"/>
        </w:rPr>
        <w:t>、</w:t>
      </w:r>
      <w:r>
        <w:rPr>
          <w:rFonts w:ascii="宋体" w:hAnsi="宋体"/>
          <w:b/>
          <w:kern w:val="0"/>
          <w:sz w:val="24"/>
        </w:rPr>
        <w:t>药物剂型的设计开发，并具有良好的创新意识。</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1信息获取能力和学习能力：学生应当具有较强的从网络、书本、媒体获得知识的能力，以及终身学习，自我提高的能力。应具备快速掌握新知识领域概况的能力，科学文献检索、资料查询的基本方法，具有基本的科学研究能力。</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B2分析判断、解决问题的能力：应当掌握科学的方法论，注重加强对自然科学方法论的理解和运用。具有综合运用所学科学理论、分析与解决问题方法和技术手段分析并解决实际问题的能力。</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B3知识应用能力、研究开发设计能力和创新意识：学生应当具有熟练地将所学知识应用于药学领域的研究、设计与开发的能力。具有较强的创新意识以及进行产品技术改造与创新的初步能力。</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B4沟通与合作、组织与管理能力：学生应当具有良好的沟通与交流能力，包括在国际环境下的交流能力。具有良好的团队合作精神与协作能力以及组织和管理能力。</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B5熟练使用网络并熟悉资料查询、文献检索及运用现代信息技术获取相关信息的基本方法，能独立阅读和查阅专业文献。</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B6掌握英语，达到国家《大学英语》教学规定的“较高要求”,具有阅读本专业英文科技文献资料的基本能力；掌握计算机基本知识和技能，通过计算机</w:t>
      </w:r>
      <w:r>
        <w:rPr>
          <w:rFonts w:hint="eastAsia" w:ascii="Times New Roman" w:hAnsi="Times New Roman"/>
          <w:kern w:val="0"/>
          <w:sz w:val="24"/>
        </w:rPr>
        <w:t>一</w:t>
      </w:r>
      <w:r>
        <w:rPr>
          <w:rFonts w:ascii="Times New Roman" w:hAnsi="Times New Roman"/>
          <w:kern w:val="0"/>
          <w:sz w:val="24"/>
        </w:rPr>
        <w:t>级统考。</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B7身心健康，达到国家规定的大学生体育锻炼标准和体质测试标准。</w:t>
      </w:r>
    </w:p>
    <w:p>
      <w:pPr>
        <w:widowControl/>
        <w:spacing w:before="120" w:beforeLines="50" w:after="120" w:afterLines="50" w:line="288" w:lineRule="auto"/>
        <w:ind w:firstLine="480" w:firstLineChars="200"/>
        <w:rPr>
          <w:rFonts w:ascii="Times New Roman" w:hAnsi="Times New Roman"/>
          <w:kern w:val="0"/>
          <w:sz w:val="24"/>
        </w:rPr>
      </w:pPr>
      <w:r>
        <w:rPr>
          <w:rFonts w:ascii="Times New Roman" w:hAnsi="Times New Roman"/>
          <w:kern w:val="0"/>
          <w:sz w:val="24"/>
        </w:rPr>
        <w:t>B8写作能力：学生应当具有良好的思维能力、想象能力、采集信息能力、调查研究能力、炼意能力、构思能力以及文字表述与交流能力，以负责的态度陈述自己的看法，表达真情实感，培植科学理性精神。</w:t>
      </w:r>
    </w:p>
    <w:p>
      <w:pPr>
        <w:widowControl/>
        <w:spacing w:before="120" w:beforeLines="50" w:after="120" w:afterLines="50" w:line="288" w:lineRule="auto"/>
        <w:ind w:firstLine="482" w:firstLineChars="200"/>
        <w:rPr>
          <w:rFonts w:ascii="宋体" w:hAnsi="宋体"/>
          <w:b/>
          <w:kern w:val="0"/>
          <w:sz w:val="24"/>
        </w:rPr>
      </w:pPr>
      <w:r>
        <w:rPr>
          <w:rFonts w:ascii="宋体" w:hAnsi="宋体"/>
          <w:b/>
          <w:kern w:val="0"/>
          <w:sz w:val="24"/>
        </w:rPr>
        <w:t>C.素质要求：学生应当具备良好思想品德和职业道德，坚定正确的政治立场，良好的政治理论素养。在学习和工作中体现对职业、社会、环境的责任。</w:t>
      </w:r>
    </w:p>
    <w:p>
      <w:pPr>
        <w:widowControl/>
        <w:spacing w:before="120" w:beforeLines="50" w:after="120" w:afterLines="50" w:line="288" w:lineRule="auto"/>
        <w:ind w:firstLine="480" w:firstLineChars="200"/>
        <w:rPr>
          <w:rFonts w:ascii="宋体" w:hAnsi="宋体"/>
          <w:kern w:val="0"/>
          <w:sz w:val="24"/>
        </w:rPr>
      </w:pPr>
      <w:r>
        <w:rPr>
          <w:rFonts w:ascii="宋体" w:hAnsi="宋体"/>
          <w:kern w:val="0"/>
          <w:sz w:val="24"/>
        </w:rPr>
        <w:t>C1良好的政治理论素养：学生应坚定正确的政治立场并掌握马列主义、毛泽东思想和中国特色社会主义理论体系的基本原理，正确理解党和国家治理现代化对社会主义建设的重要性，努力通过相关学科的学习，科学理性地提高自身政治理论素养。</w:t>
      </w:r>
    </w:p>
    <w:p>
      <w:pPr>
        <w:widowControl/>
        <w:spacing w:before="120" w:beforeLines="50" w:after="120" w:afterLines="50" w:line="288" w:lineRule="auto"/>
        <w:ind w:firstLine="480" w:firstLineChars="200"/>
        <w:rPr>
          <w:rFonts w:ascii="宋体" w:hAnsi="宋体"/>
          <w:kern w:val="0"/>
          <w:sz w:val="24"/>
        </w:rPr>
      </w:pPr>
      <w:r>
        <w:rPr>
          <w:rFonts w:ascii="宋体" w:hAnsi="宋体"/>
          <w:kern w:val="0"/>
          <w:sz w:val="24"/>
        </w:rPr>
        <w:t>C2良好的思想品德和职业道德：学生应具有正确的人生观和价值观。热爱祖国，</w:t>
      </w:r>
      <w:r>
        <w:rPr>
          <w:rFonts w:ascii="宋体" w:hAnsi="宋体"/>
          <w:sz w:val="24"/>
        </w:rPr>
        <w:t>热爱医药卫生事业。具有较强的社会责任感、正确的价值观、伦理观，</w:t>
      </w:r>
      <w:r>
        <w:rPr>
          <w:rFonts w:ascii="宋体" w:hAnsi="宋体"/>
          <w:kern w:val="0"/>
          <w:sz w:val="24"/>
        </w:rPr>
        <w:t>具有团结、勤奋、求实、创新的精神。良好的职业道德。体现对职业、社会、环境的责任。</w:t>
      </w:r>
    </w:p>
    <w:p>
      <w:pPr>
        <w:widowControl/>
        <w:spacing w:before="120" w:beforeLines="50" w:after="120" w:afterLines="50" w:line="288" w:lineRule="auto"/>
        <w:ind w:firstLine="480" w:firstLineChars="200"/>
        <w:rPr>
          <w:rFonts w:ascii="宋体" w:hAnsi="宋体"/>
          <w:kern w:val="0"/>
          <w:sz w:val="24"/>
        </w:rPr>
      </w:pPr>
      <w:r>
        <w:rPr>
          <w:rFonts w:ascii="宋体" w:hAnsi="宋体"/>
          <w:kern w:val="0"/>
          <w:sz w:val="24"/>
        </w:rPr>
        <w:t>C3 行业标准与政策法规：学生应当了解现行的行业标准与政策法规，培养工作中恪守学术规范、国家法律法规的精神，建立良好的法治意识。</w:t>
      </w:r>
    </w:p>
    <w:p>
      <w:pPr>
        <w:widowControl/>
        <w:spacing w:before="120" w:beforeLines="50" w:after="120" w:afterLines="50" w:line="288" w:lineRule="auto"/>
        <w:ind w:firstLine="480" w:firstLineChars="200"/>
        <w:rPr>
          <w:rFonts w:ascii="宋体" w:hAnsi="宋体"/>
          <w:kern w:val="0"/>
          <w:sz w:val="24"/>
        </w:rPr>
      </w:pPr>
      <w:r>
        <w:rPr>
          <w:rFonts w:ascii="宋体" w:hAnsi="宋体"/>
          <w:kern w:val="0"/>
          <w:sz w:val="24"/>
        </w:rPr>
        <w:t>C4专业知识扎实，具有较强实践能力，积极创新、勇于批判的科学精神。</w:t>
      </w:r>
    </w:p>
    <w:p>
      <w:pPr>
        <w:widowControl/>
        <w:spacing w:before="120" w:beforeLines="50" w:after="120" w:afterLines="50" w:line="288" w:lineRule="auto"/>
        <w:ind w:firstLine="480" w:firstLineChars="200"/>
        <w:rPr>
          <w:rFonts w:ascii="宋体" w:hAnsi="宋体"/>
          <w:kern w:val="0"/>
          <w:sz w:val="24"/>
        </w:rPr>
      </w:pPr>
      <w:r>
        <w:rPr>
          <w:rFonts w:ascii="宋体" w:hAnsi="宋体"/>
          <w:kern w:val="0"/>
          <w:sz w:val="24"/>
        </w:rPr>
        <w:t>C5具有良好的人际沟通与协调能力以及团队协作精神。</w:t>
      </w:r>
    </w:p>
    <w:p>
      <w:pPr>
        <w:widowControl/>
        <w:spacing w:before="120" w:beforeLines="50" w:after="120" w:afterLines="50" w:line="288" w:lineRule="auto"/>
        <w:ind w:firstLine="480" w:firstLineChars="200"/>
        <w:rPr>
          <w:rFonts w:ascii="宋体" w:hAnsi="宋体"/>
          <w:kern w:val="0"/>
          <w:sz w:val="24"/>
        </w:rPr>
      </w:pPr>
      <w:r>
        <w:rPr>
          <w:rFonts w:ascii="宋体" w:hAnsi="宋体"/>
          <w:kern w:val="0"/>
          <w:sz w:val="24"/>
        </w:rPr>
        <w:t>C6树立终身学习观念，具有自主学习能力，不断探索新知，追求卓越。</w:t>
      </w:r>
    </w:p>
    <w:p>
      <w:pPr>
        <w:adjustRightInd w:val="0"/>
        <w:snapToGrid w:val="0"/>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附：学校毕业要求基本标准：</w:t>
      </w:r>
    </w:p>
    <w:p>
      <w:pPr>
        <w:adjustRightInd w:val="0"/>
        <w:snapToGrid w:val="0"/>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1、具有正确的政治立场，正确的世界观、人生观和价值观，热爱祖国、遵纪守法，诚信为人，品行端正，具有健全的人格和社会责任感，具有集体主义精神、合作精神、敬业精神以及追求真理、现身科学教育事业的科学道德，德、智、体、美、劳全面发展，德才兼备。</w:t>
      </w:r>
    </w:p>
    <w:p>
      <w:pPr>
        <w:adjustRightInd w:val="0"/>
        <w:snapToGrid w:val="0"/>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2、具备一定的人文科学、社会科学、自然科学、创新创业等领域的知识和素养，具有较强的外语和信息技术应用能力，具备较高的信息素养。</w:t>
      </w:r>
    </w:p>
    <w:p>
      <w:pPr>
        <w:adjustRightInd w:val="0"/>
        <w:snapToGrid w:val="0"/>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3、系统掌握本学科专业知识必备的基础理论、基本知识和基本技能，了解相关学科发展现状及前沿动态，具有综合运用所学知识解决实际问题的基本能力。</w:t>
      </w:r>
    </w:p>
    <w:p>
      <w:pPr>
        <w:adjustRightInd w:val="0"/>
        <w:snapToGrid w:val="0"/>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4、具有较强的创新精神、创业意识和创新创业能力，以及继续学习和不断提高的能力。</w:t>
      </w:r>
    </w:p>
    <w:p>
      <w:pPr>
        <w:adjustRightInd w:val="0"/>
        <w:snapToGrid w:val="0"/>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5、具有良好的语言和文字表达能力，具有一定的国际视野。</w:t>
      </w:r>
    </w:p>
    <w:p>
      <w:pPr>
        <w:adjustRightInd w:val="0"/>
        <w:snapToGrid w:val="0"/>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6、达到国家规定的大学生体质健康标准，具有健康的体魄和良好的心理素质。</w:t>
      </w:r>
    </w:p>
    <w:p>
      <w:pPr>
        <w:spacing w:before="240" w:beforeLines="100" w:after="240" w:afterLines="100" w:line="288" w:lineRule="auto"/>
        <w:rPr>
          <w:rFonts w:ascii="黑体" w:hAnsi="黑体" w:eastAsia="黑体" w:cs="宋体"/>
          <w:b/>
          <w:kern w:val="0"/>
          <w:sz w:val="24"/>
        </w:rPr>
      </w:pPr>
      <w:r>
        <w:rPr>
          <w:rFonts w:hint="eastAsia" w:ascii="黑体" w:hAnsi="黑体" w:eastAsia="黑体" w:cs="宋体"/>
          <w:b/>
          <w:kern w:val="0"/>
          <w:sz w:val="24"/>
        </w:rPr>
        <w:t>七、专业核心课程及特色课程（导师课、研究型课程、讨论课程、全英文课程、双语课程、校内外合授课程、创新创业课等）。</w:t>
      </w:r>
    </w:p>
    <w:p>
      <w:pPr>
        <w:snapToGrid w:val="0"/>
        <w:spacing w:before="120" w:beforeLines="50" w:after="120" w:afterLines="50" w:line="288" w:lineRule="auto"/>
        <w:rPr>
          <w:rFonts w:ascii="Times New Roman" w:hAnsi="Times New Roman" w:cs="宋体"/>
          <w:kern w:val="0"/>
          <w:sz w:val="24"/>
        </w:rPr>
      </w:pPr>
      <w:r>
        <w:rPr>
          <w:rFonts w:hint="eastAsia" w:ascii="宋体" w:hAnsi="宋体" w:cs="宋体"/>
          <w:b/>
          <w:kern w:val="0"/>
          <w:sz w:val="24"/>
        </w:rPr>
        <w:t>1.专业核心课程</w:t>
      </w:r>
      <w:r>
        <w:rPr>
          <w:rFonts w:hint="eastAsia" w:ascii="Times New Roman" w:hAnsi="Times New Roman" w:cs="宋体"/>
          <w:kern w:val="0"/>
          <w:sz w:val="24"/>
        </w:rPr>
        <w:t>：参照《普通高等学校本科专业类教学质量国家标准》结合专业特色设置</w:t>
      </w:r>
    </w:p>
    <w:p>
      <w:pPr>
        <w:spacing w:before="120" w:beforeLines="50" w:after="120" w:afterLines="50" w:line="288" w:lineRule="auto"/>
        <w:ind w:firstLine="480" w:firstLineChars="200"/>
        <w:rPr>
          <w:rFonts w:ascii="Times New Roman" w:hAnsi="Times New Roman"/>
          <w:sz w:val="24"/>
        </w:rPr>
      </w:pPr>
      <w:r>
        <w:rPr>
          <w:rFonts w:hint="eastAsia" w:ascii="Times New Roman" w:hAnsi="Times New Roman"/>
          <w:sz w:val="24"/>
        </w:rPr>
        <w:t>有机化学、物理化学、生物化学、微生物学、药理学、临床医学概论、药事管理、药剂学、药物化学、药物分析。</w:t>
      </w:r>
    </w:p>
    <w:p>
      <w:pPr>
        <w:widowControl/>
        <w:spacing w:before="120" w:beforeLines="50" w:after="120" w:afterLines="50" w:line="288" w:lineRule="auto"/>
        <w:jc w:val="left"/>
        <w:rPr>
          <w:rFonts w:ascii="宋体" w:hAnsi="宋体" w:cs="宋体"/>
          <w:b/>
          <w:kern w:val="0"/>
          <w:sz w:val="24"/>
        </w:rPr>
      </w:pPr>
      <w:bookmarkStart w:id="2" w:name="_Toc498104483"/>
      <w:bookmarkStart w:id="3" w:name="_Toc497855854"/>
      <w:bookmarkStart w:id="4" w:name="_Toc493178592"/>
      <w:bookmarkStart w:id="5" w:name="_Toc497857700"/>
      <w:r>
        <w:rPr>
          <w:rFonts w:hint="eastAsia" w:ascii="宋体" w:hAnsi="宋体" w:cs="宋体"/>
          <w:b/>
          <w:kern w:val="0"/>
          <w:sz w:val="24"/>
        </w:rPr>
        <w:t>2.特色、特设课程：</w:t>
      </w:r>
    </w:p>
    <w:p>
      <w:pPr>
        <w:spacing w:before="120" w:beforeLines="50" w:after="120" w:afterLines="50" w:line="288" w:lineRule="auto"/>
        <w:outlineLvl w:val="1"/>
        <w:rPr>
          <w:rFonts w:ascii="宋体" w:hAnsi="宋体" w:cs="仿宋"/>
          <w:b/>
          <w:sz w:val="24"/>
        </w:rPr>
      </w:pPr>
      <w:r>
        <w:rPr>
          <w:rFonts w:hint="eastAsia" w:ascii="宋体" w:hAnsi="宋体" w:cs="仿宋"/>
          <w:b/>
          <w:sz w:val="24"/>
        </w:rPr>
        <w:t>（1）研究型课程和讨论课程</w:t>
      </w:r>
      <w:bookmarkEnd w:id="2"/>
      <w:bookmarkEnd w:id="3"/>
      <w:bookmarkEnd w:id="4"/>
      <w:bookmarkEnd w:id="5"/>
      <w:bookmarkStart w:id="6" w:name="_Toc497855855"/>
      <w:bookmarkStart w:id="7" w:name="_Toc497857701"/>
      <w:bookmarkStart w:id="8" w:name="_Toc498104484"/>
      <w:bookmarkStart w:id="9" w:name="_Toc493178593"/>
    </w:p>
    <w:p>
      <w:pPr>
        <w:spacing w:before="120" w:beforeLines="50" w:after="120" w:afterLines="50" w:line="288" w:lineRule="auto"/>
        <w:ind w:firstLine="480" w:firstLineChars="200"/>
        <w:outlineLvl w:val="1"/>
        <w:rPr>
          <w:rFonts w:ascii="宋体" w:hAnsi="宋体" w:cs="仿宋"/>
          <w:sz w:val="24"/>
        </w:rPr>
      </w:pPr>
      <w:r>
        <w:rPr>
          <w:rFonts w:hint="eastAsia" w:ascii="宋体" w:hAnsi="宋体" w:cs="仿宋"/>
          <w:sz w:val="24"/>
        </w:rPr>
        <w:t>针对药学前沿，结合每位教师的学术方向，对相关领域进行讲授，设立专题，通过文献调研、课堂讨论，让学生了解科学研究的方法。相关课程《导师制课程》。</w:t>
      </w:r>
      <w:bookmarkEnd w:id="6"/>
      <w:bookmarkEnd w:id="7"/>
      <w:bookmarkEnd w:id="8"/>
      <w:bookmarkEnd w:id="9"/>
    </w:p>
    <w:p>
      <w:pPr>
        <w:spacing w:before="120" w:beforeLines="50" w:after="120" w:afterLines="50" w:line="288" w:lineRule="auto"/>
        <w:outlineLvl w:val="1"/>
        <w:rPr>
          <w:rFonts w:ascii="宋体" w:hAnsi="宋体" w:cs="仿宋"/>
          <w:b/>
          <w:sz w:val="24"/>
        </w:rPr>
      </w:pPr>
      <w:bookmarkStart w:id="10" w:name="_Toc493178594"/>
      <w:bookmarkStart w:id="11" w:name="_Toc498104485"/>
      <w:bookmarkStart w:id="12" w:name="_Toc497857702"/>
      <w:bookmarkStart w:id="13" w:name="_Toc497855856"/>
      <w:r>
        <w:rPr>
          <w:rFonts w:hint="eastAsia" w:ascii="宋体" w:hAnsi="宋体" w:cs="仿宋"/>
          <w:b/>
          <w:sz w:val="24"/>
        </w:rPr>
        <w:t>（2）全英文课程和双语课程</w:t>
      </w:r>
      <w:bookmarkEnd w:id="10"/>
      <w:bookmarkEnd w:id="11"/>
      <w:bookmarkEnd w:id="12"/>
      <w:bookmarkEnd w:id="13"/>
      <w:bookmarkStart w:id="14" w:name="_Toc493178595"/>
      <w:bookmarkStart w:id="15" w:name="_Toc497855857"/>
      <w:bookmarkStart w:id="16" w:name="_Toc498104486"/>
      <w:bookmarkStart w:id="17" w:name="_Toc497857703"/>
    </w:p>
    <w:bookmarkEnd w:id="14"/>
    <w:bookmarkEnd w:id="15"/>
    <w:bookmarkEnd w:id="16"/>
    <w:bookmarkEnd w:id="17"/>
    <w:p>
      <w:pPr>
        <w:widowControl/>
        <w:spacing w:before="120" w:beforeLines="50" w:after="120" w:afterLines="50" w:line="288" w:lineRule="auto"/>
        <w:ind w:firstLine="480" w:firstLineChars="200"/>
        <w:rPr>
          <w:rFonts w:ascii="宋体" w:hAnsi="宋体" w:cs="仿宋"/>
          <w:sz w:val="24"/>
        </w:rPr>
      </w:pPr>
      <w:r>
        <w:rPr>
          <w:rFonts w:hint="eastAsia" w:ascii="宋体" w:hAnsi="宋体" w:cs="仿宋"/>
          <w:sz w:val="24"/>
        </w:rPr>
        <w:t>选择专业课，鼓励教师进行全英文课程和双语课程。全英文课程是《药学英语》，双语课程为《药物化学》。</w:t>
      </w:r>
    </w:p>
    <w:p>
      <w:pPr>
        <w:spacing w:before="120" w:beforeLines="50" w:after="120" w:afterLines="50" w:line="288" w:lineRule="auto"/>
        <w:outlineLvl w:val="1"/>
        <w:rPr>
          <w:rFonts w:ascii="宋体" w:hAnsi="宋体" w:cs="仿宋"/>
          <w:b/>
          <w:sz w:val="24"/>
        </w:rPr>
      </w:pPr>
      <w:r>
        <w:rPr>
          <w:rFonts w:hint="eastAsia" w:ascii="宋体" w:hAnsi="宋体" w:cs="仿宋"/>
          <w:b/>
          <w:sz w:val="24"/>
        </w:rPr>
        <w:t>（3）校内外合授课程</w:t>
      </w:r>
    </w:p>
    <w:p>
      <w:pPr>
        <w:spacing w:before="120" w:beforeLines="50" w:after="120" w:afterLines="50" w:line="288" w:lineRule="auto"/>
        <w:ind w:firstLine="480" w:firstLineChars="200"/>
        <w:outlineLvl w:val="1"/>
        <w:rPr>
          <w:rFonts w:ascii="宋体" w:hAnsi="宋体" w:cs="仿宋"/>
          <w:sz w:val="24"/>
        </w:rPr>
      </w:pPr>
      <w:r>
        <w:rPr>
          <w:rFonts w:hint="eastAsia" w:ascii="宋体" w:hAnsi="宋体" w:cs="仿宋"/>
          <w:sz w:val="24"/>
        </w:rPr>
        <w:t>与实习单位合作，聘请具有实践经验的研究院所和企业研发人员，进行校内外联合授课。相关课程如《新药设计原理与方法》。</w:t>
      </w:r>
    </w:p>
    <w:p>
      <w:pPr>
        <w:spacing w:before="240" w:beforeLines="100" w:after="240" w:afterLines="100" w:line="288" w:lineRule="auto"/>
        <w:rPr>
          <w:rFonts w:ascii="黑体" w:hAnsi="黑体" w:eastAsia="黑体" w:cs="宋体"/>
          <w:b/>
          <w:kern w:val="0"/>
          <w:sz w:val="24"/>
        </w:rPr>
      </w:pPr>
      <w:r>
        <w:rPr>
          <w:rFonts w:hint="eastAsia" w:ascii="黑体" w:hAnsi="黑体" w:eastAsia="黑体" w:cs="宋体"/>
          <w:b/>
          <w:kern w:val="0"/>
          <w:sz w:val="24"/>
        </w:rPr>
        <w:t>八、毕业学分要求、课程修读要求与选课说明。</w:t>
      </w:r>
    </w:p>
    <w:p>
      <w:pPr>
        <w:widowControl/>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1.本专业学制</w:t>
      </w:r>
      <w:r>
        <w:rPr>
          <w:rFonts w:ascii="宋体" w:hAnsi="宋体" w:cs="宋体"/>
          <w:kern w:val="0"/>
          <w:sz w:val="24"/>
        </w:rPr>
        <w:t>4</w:t>
      </w:r>
      <w:r>
        <w:rPr>
          <w:rFonts w:hint="eastAsia" w:ascii="宋体" w:hAnsi="宋体" w:cs="宋体"/>
          <w:kern w:val="0"/>
          <w:sz w:val="24"/>
        </w:rPr>
        <w:t>年，按照学分制管理，最长修业年限</w:t>
      </w:r>
      <w:r>
        <w:rPr>
          <w:rFonts w:ascii="宋体" w:hAnsi="宋体" w:cs="宋体"/>
          <w:kern w:val="0"/>
          <w:sz w:val="24"/>
        </w:rPr>
        <w:t>6</w:t>
      </w:r>
      <w:r>
        <w:rPr>
          <w:rFonts w:hint="eastAsia" w:ascii="宋体" w:hAnsi="宋体" w:cs="宋体"/>
          <w:kern w:val="0"/>
          <w:sz w:val="24"/>
        </w:rPr>
        <w:t>年；</w:t>
      </w:r>
    </w:p>
    <w:p>
      <w:pPr>
        <w:widowControl/>
        <w:spacing w:before="120" w:beforeLines="50" w:after="120" w:afterLines="50" w:line="288" w:lineRule="auto"/>
        <w:ind w:firstLine="480" w:firstLineChars="200"/>
        <w:rPr>
          <w:rFonts w:ascii="宋体" w:hAnsi="宋体" w:cs="宋体"/>
          <w:kern w:val="0"/>
          <w:sz w:val="24"/>
        </w:rPr>
      </w:pPr>
      <w:r>
        <w:rPr>
          <w:rFonts w:hint="eastAsia" w:ascii="宋体" w:hAnsi="宋体" w:cs="宋体"/>
          <w:kern w:val="0"/>
          <w:sz w:val="24"/>
        </w:rPr>
        <w:t>2.药学专业学生毕业最低学分数为</w:t>
      </w:r>
      <w:r>
        <w:rPr>
          <w:rFonts w:ascii="宋体" w:hAnsi="宋体" w:cs="宋体"/>
          <w:kern w:val="0"/>
          <w:sz w:val="24"/>
        </w:rPr>
        <w:t>150</w:t>
      </w:r>
      <w:r>
        <w:rPr>
          <w:rFonts w:hint="eastAsia" w:ascii="宋体" w:hAnsi="宋体" w:cs="宋体"/>
          <w:kern w:val="0"/>
          <w:sz w:val="24"/>
        </w:rPr>
        <w:t>，其中各类别课程及环节要求学分数如下表3。</w:t>
      </w:r>
    </w:p>
    <w:p>
      <w:pPr>
        <w:widowControl/>
        <w:spacing w:before="120" w:beforeLines="50" w:after="120" w:afterLines="50" w:line="288" w:lineRule="auto"/>
        <w:jc w:val="center"/>
        <w:rPr>
          <w:rFonts w:ascii="宋体" w:hAnsi="宋体" w:cs="宋体"/>
          <w:b/>
          <w:kern w:val="0"/>
          <w:sz w:val="24"/>
        </w:rPr>
      </w:pPr>
      <w:r>
        <w:rPr>
          <w:rFonts w:hint="eastAsia" w:ascii="宋体" w:hAnsi="宋体" w:cs="宋体"/>
          <w:b/>
          <w:kern w:val="0"/>
          <w:sz w:val="24"/>
        </w:rPr>
        <w:t>表3</w:t>
      </w:r>
      <w:r>
        <w:rPr>
          <w:rFonts w:ascii="宋体" w:hAnsi="宋体" w:cs="宋体"/>
          <w:b/>
          <w:kern w:val="0"/>
          <w:sz w:val="24"/>
        </w:rPr>
        <w:t xml:space="preserve"> </w:t>
      </w:r>
      <w:r>
        <w:rPr>
          <w:rFonts w:hint="eastAsia" w:ascii="宋体" w:hAnsi="宋体" w:cs="宋体"/>
          <w:b/>
          <w:kern w:val="0"/>
          <w:sz w:val="24"/>
        </w:rPr>
        <w:t>各类别课程及环节要求学分数</w:t>
      </w:r>
    </w:p>
    <w:tbl>
      <w:tblPr>
        <w:tblStyle w:val="9"/>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709"/>
        <w:gridCol w:w="709"/>
        <w:gridCol w:w="708"/>
        <w:gridCol w:w="709"/>
        <w:gridCol w:w="709"/>
        <w:gridCol w:w="1559"/>
        <w:gridCol w:w="1711"/>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b/>
                <w:szCs w:val="21"/>
              </w:rPr>
            </w:pPr>
            <w:r>
              <w:rPr>
                <w:rFonts w:hint="eastAsia" w:ascii="宋体" w:hAnsi="宋体"/>
                <w:b/>
                <w:szCs w:val="21"/>
              </w:rPr>
              <w:t>课程类别</w:t>
            </w:r>
          </w:p>
        </w:tc>
        <w:tc>
          <w:tcPr>
            <w:tcW w:w="709" w:type="dxa"/>
          </w:tcPr>
          <w:p>
            <w:pPr>
              <w:adjustRightInd w:val="0"/>
              <w:snapToGrid w:val="0"/>
              <w:spacing w:line="320" w:lineRule="exact"/>
              <w:rPr>
                <w:rFonts w:ascii="宋体" w:hAnsi="宋体"/>
                <w:b/>
                <w:szCs w:val="21"/>
              </w:rPr>
            </w:pPr>
            <w:r>
              <w:rPr>
                <w:rFonts w:hint="eastAsia" w:ascii="宋体" w:hAnsi="宋体"/>
                <w:b/>
                <w:szCs w:val="21"/>
              </w:rPr>
              <w:t>通识必修</w:t>
            </w:r>
          </w:p>
        </w:tc>
        <w:tc>
          <w:tcPr>
            <w:tcW w:w="709" w:type="dxa"/>
          </w:tcPr>
          <w:p>
            <w:pPr>
              <w:adjustRightInd w:val="0"/>
              <w:snapToGrid w:val="0"/>
              <w:spacing w:line="320" w:lineRule="exact"/>
              <w:rPr>
                <w:rFonts w:ascii="宋体" w:hAnsi="宋体"/>
                <w:b/>
                <w:szCs w:val="21"/>
              </w:rPr>
            </w:pPr>
            <w:r>
              <w:rPr>
                <w:rFonts w:hint="eastAsia" w:ascii="宋体" w:hAnsi="宋体"/>
                <w:b/>
                <w:szCs w:val="21"/>
              </w:rPr>
              <w:t>通识选修</w:t>
            </w:r>
          </w:p>
        </w:tc>
        <w:tc>
          <w:tcPr>
            <w:tcW w:w="709" w:type="dxa"/>
          </w:tcPr>
          <w:p>
            <w:pPr>
              <w:adjustRightInd w:val="0"/>
              <w:snapToGrid w:val="0"/>
              <w:spacing w:line="320" w:lineRule="exact"/>
              <w:rPr>
                <w:rFonts w:ascii="宋体" w:hAnsi="宋体"/>
                <w:b/>
                <w:szCs w:val="21"/>
              </w:rPr>
            </w:pPr>
            <w:r>
              <w:rPr>
                <w:rFonts w:hint="eastAsia" w:ascii="宋体" w:hAnsi="宋体"/>
                <w:b/>
                <w:szCs w:val="21"/>
              </w:rPr>
              <w:t>学门核心</w:t>
            </w:r>
          </w:p>
        </w:tc>
        <w:tc>
          <w:tcPr>
            <w:tcW w:w="708" w:type="dxa"/>
          </w:tcPr>
          <w:p>
            <w:pPr>
              <w:adjustRightInd w:val="0"/>
              <w:snapToGrid w:val="0"/>
              <w:spacing w:line="320" w:lineRule="exact"/>
              <w:rPr>
                <w:rFonts w:ascii="宋体" w:hAnsi="宋体"/>
                <w:b/>
                <w:szCs w:val="21"/>
              </w:rPr>
            </w:pPr>
            <w:r>
              <w:rPr>
                <w:rFonts w:hint="eastAsia" w:ascii="宋体" w:hAnsi="宋体"/>
                <w:b/>
                <w:szCs w:val="21"/>
              </w:rPr>
              <w:t>学类核心</w:t>
            </w:r>
          </w:p>
        </w:tc>
        <w:tc>
          <w:tcPr>
            <w:tcW w:w="709" w:type="dxa"/>
          </w:tcPr>
          <w:p>
            <w:pPr>
              <w:adjustRightInd w:val="0"/>
              <w:snapToGrid w:val="0"/>
              <w:spacing w:line="320" w:lineRule="exact"/>
              <w:rPr>
                <w:rFonts w:ascii="宋体" w:hAnsi="宋体"/>
                <w:b/>
                <w:szCs w:val="21"/>
              </w:rPr>
            </w:pPr>
            <w:r>
              <w:rPr>
                <w:rFonts w:hint="eastAsia" w:ascii="宋体" w:hAnsi="宋体"/>
                <w:b/>
                <w:szCs w:val="21"/>
              </w:rPr>
              <w:t>专业必修</w:t>
            </w:r>
          </w:p>
        </w:tc>
        <w:tc>
          <w:tcPr>
            <w:tcW w:w="709" w:type="dxa"/>
          </w:tcPr>
          <w:p>
            <w:pPr>
              <w:adjustRightInd w:val="0"/>
              <w:snapToGrid w:val="0"/>
              <w:spacing w:line="320" w:lineRule="exact"/>
              <w:rPr>
                <w:rFonts w:ascii="宋体" w:hAnsi="宋体"/>
                <w:b/>
                <w:szCs w:val="21"/>
              </w:rPr>
            </w:pPr>
            <w:r>
              <w:rPr>
                <w:rFonts w:hint="eastAsia" w:ascii="宋体" w:hAnsi="宋体"/>
                <w:b/>
                <w:szCs w:val="21"/>
              </w:rPr>
              <w:t>专业选修</w:t>
            </w:r>
          </w:p>
        </w:tc>
        <w:tc>
          <w:tcPr>
            <w:tcW w:w="1559" w:type="dxa"/>
          </w:tcPr>
          <w:p>
            <w:pPr>
              <w:adjustRightInd w:val="0"/>
              <w:snapToGrid w:val="0"/>
              <w:spacing w:line="320" w:lineRule="exact"/>
              <w:rPr>
                <w:rFonts w:ascii="宋体" w:hAnsi="宋体"/>
                <w:b/>
                <w:szCs w:val="21"/>
              </w:rPr>
            </w:pPr>
            <w:r>
              <w:rPr>
                <w:rFonts w:hint="eastAsia" w:ascii="宋体" w:hAnsi="宋体"/>
                <w:b/>
                <w:szCs w:val="21"/>
              </w:rPr>
              <w:t>集中实践必修</w:t>
            </w:r>
          </w:p>
        </w:tc>
        <w:tc>
          <w:tcPr>
            <w:tcW w:w="1711" w:type="dxa"/>
          </w:tcPr>
          <w:p>
            <w:pPr>
              <w:adjustRightInd w:val="0"/>
              <w:snapToGrid w:val="0"/>
              <w:spacing w:line="320" w:lineRule="exact"/>
              <w:rPr>
                <w:rFonts w:ascii="宋体" w:hAnsi="宋体"/>
                <w:b/>
                <w:szCs w:val="21"/>
              </w:rPr>
            </w:pPr>
            <w:r>
              <w:rPr>
                <w:rFonts w:hint="eastAsia" w:ascii="宋体" w:hAnsi="宋体"/>
                <w:b/>
                <w:szCs w:val="21"/>
              </w:rPr>
              <w:t>集中实践选修</w:t>
            </w:r>
          </w:p>
        </w:tc>
        <w:tc>
          <w:tcPr>
            <w:tcW w:w="690" w:type="dxa"/>
          </w:tcPr>
          <w:p>
            <w:pPr>
              <w:adjustRightInd w:val="0"/>
              <w:snapToGrid w:val="0"/>
              <w:spacing w:line="440" w:lineRule="exact"/>
              <w:rPr>
                <w:rFonts w:ascii="宋体" w:hAnsi="宋体"/>
                <w:b/>
                <w:szCs w:val="21"/>
              </w:rPr>
            </w:pPr>
            <w:r>
              <w:rPr>
                <w:rFonts w:hint="eastAsia" w:ascii="宋体" w:hAnsi="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sz w:val="18"/>
                <w:szCs w:val="18"/>
              </w:rPr>
            </w:pPr>
            <w:r>
              <w:rPr>
                <w:rFonts w:hint="eastAsia" w:ascii="宋体" w:hAnsi="宋体"/>
                <w:sz w:val="18"/>
                <w:szCs w:val="18"/>
              </w:rPr>
              <w:t>学分数</w:t>
            </w:r>
          </w:p>
        </w:tc>
        <w:tc>
          <w:tcPr>
            <w:tcW w:w="709" w:type="dxa"/>
            <w:vAlign w:val="center"/>
          </w:tcPr>
          <w:p>
            <w:pPr>
              <w:jc w:val="center"/>
              <w:rPr>
                <w:rFonts w:ascii="宋体" w:hAnsi="宋体"/>
              </w:rPr>
            </w:pPr>
            <w:r>
              <w:rPr>
                <w:rFonts w:hint="eastAsia" w:ascii="宋体" w:hAnsi="宋体"/>
              </w:rPr>
              <w:t>27</w:t>
            </w:r>
          </w:p>
        </w:tc>
        <w:tc>
          <w:tcPr>
            <w:tcW w:w="709" w:type="dxa"/>
            <w:vAlign w:val="center"/>
          </w:tcPr>
          <w:p>
            <w:pPr>
              <w:jc w:val="center"/>
              <w:rPr>
                <w:rFonts w:ascii="宋体" w:hAnsi="宋体"/>
              </w:rPr>
            </w:pPr>
            <w:r>
              <w:rPr>
                <w:rFonts w:hint="eastAsia" w:ascii="宋体" w:hAnsi="宋体"/>
              </w:rPr>
              <w:t>8</w:t>
            </w:r>
          </w:p>
        </w:tc>
        <w:tc>
          <w:tcPr>
            <w:tcW w:w="709" w:type="dxa"/>
            <w:vAlign w:val="center"/>
          </w:tcPr>
          <w:p>
            <w:pPr>
              <w:rPr>
                <w:rFonts w:ascii="宋体" w:hAnsi="宋体"/>
              </w:rPr>
            </w:pPr>
            <w:r>
              <w:rPr>
                <w:rFonts w:hint="eastAsia" w:ascii="宋体" w:hAnsi="宋体"/>
              </w:rPr>
              <w:t>23.5</w:t>
            </w:r>
          </w:p>
        </w:tc>
        <w:tc>
          <w:tcPr>
            <w:tcW w:w="708" w:type="dxa"/>
            <w:vAlign w:val="center"/>
          </w:tcPr>
          <w:p>
            <w:pPr>
              <w:rPr>
                <w:rFonts w:ascii="宋体" w:hAnsi="宋体"/>
              </w:rPr>
            </w:pPr>
            <w:r>
              <w:rPr>
                <w:rFonts w:hint="eastAsia" w:ascii="宋体" w:hAnsi="宋体"/>
              </w:rPr>
              <w:t>30.5</w:t>
            </w:r>
          </w:p>
        </w:tc>
        <w:tc>
          <w:tcPr>
            <w:tcW w:w="709" w:type="dxa"/>
            <w:vAlign w:val="center"/>
          </w:tcPr>
          <w:p>
            <w:pPr>
              <w:rPr>
                <w:rFonts w:ascii="宋体" w:hAnsi="宋体"/>
              </w:rPr>
            </w:pPr>
            <w:r>
              <w:rPr>
                <w:rFonts w:hint="eastAsia" w:ascii="宋体" w:hAnsi="宋体"/>
              </w:rPr>
              <w:t>1</w:t>
            </w:r>
            <w:r>
              <w:rPr>
                <w:rFonts w:ascii="宋体" w:hAnsi="宋体"/>
              </w:rPr>
              <w:t>1</w:t>
            </w:r>
          </w:p>
        </w:tc>
        <w:tc>
          <w:tcPr>
            <w:tcW w:w="709" w:type="dxa"/>
            <w:vAlign w:val="center"/>
          </w:tcPr>
          <w:p>
            <w:pPr>
              <w:jc w:val="center"/>
              <w:rPr>
                <w:rFonts w:ascii="宋体" w:hAnsi="宋体"/>
              </w:rPr>
            </w:pPr>
            <w:r>
              <w:rPr>
                <w:rFonts w:hint="eastAsia" w:ascii="宋体" w:hAnsi="宋体"/>
                <w:color w:val="FF0000"/>
              </w:rPr>
              <w:t>1</w:t>
            </w:r>
            <w:r>
              <w:rPr>
                <w:rFonts w:ascii="宋体" w:hAnsi="宋体"/>
                <w:color w:val="FF0000"/>
              </w:rPr>
              <w:t>7</w:t>
            </w:r>
          </w:p>
        </w:tc>
        <w:tc>
          <w:tcPr>
            <w:tcW w:w="1559" w:type="dxa"/>
            <w:vAlign w:val="center"/>
          </w:tcPr>
          <w:p>
            <w:pPr>
              <w:jc w:val="center"/>
              <w:rPr>
                <w:rFonts w:ascii="宋体" w:hAnsi="宋体"/>
              </w:rPr>
            </w:pPr>
            <w:r>
              <w:rPr>
                <w:rFonts w:ascii="宋体" w:hAnsi="宋体"/>
                <w:color w:val="FF0000"/>
              </w:rPr>
              <w:t>33</w:t>
            </w:r>
          </w:p>
        </w:tc>
        <w:tc>
          <w:tcPr>
            <w:tcW w:w="1711" w:type="dxa"/>
            <w:vAlign w:val="center"/>
          </w:tcPr>
          <w:p>
            <w:pPr>
              <w:jc w:val="center"/>
              <w:rPr>
                <w:rFonts w:ascii="宋体" w:hAnsi="宋体"/>
              </w:rPr>
            </w:pPr>
            <w:r>
              <w:rPr>
                <w:rFonts w:ascii="宋体" w:hAnsi="宋体"/>
              </w:rPr>
              <w:t>0</w:t>
            </w:r>
          </w:p>
        </w:tc>
        <w:tc>
          <w:tcPr>
            <w:tcW w:w="690" w:type="dxa"/>
            <w:vAlign w:val="center"/>
          </w:tcPr>
          <w:p>
            <w:pPr>
              <w:rPr>
                <w:rFonts w:ascii="宋体" w:hAnsi="宋体"/>
              </w:rPr>
            </w:pPr>
            <w:r>
              <w:rPr>
                <w:rFonts w:ascii="宋体" w:hAnsi="宋体"/>
              </w:rPr>
              <w:t>150</w:t>
            </w:r>
          </w:p>
        </w:tc>
      </w:tr>
    </w:tbl>
    <w:p>
      <w:pPr>
        <w:widowControl/>
        <w:spacing w:line="360" w:lineRule="auto"/>
        <w:rPr>
          <w:rFonts w:ascii="宋体" w:hAnsi="宋体" w:cs="宋体"/>
          <w:kern w:val="0"/>
          <w:sz w:val="18"/>
          <w:szCs w:val="18"/>
        </w:rPr>
      </w:pPr>
    </w:p>
    <w:tbl>
      <w:tblPr>
        <w:tblStyle w:val="1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3812"/>
        <w:gridCol w:w="1275"/>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s="宋体"/>
                <w:kern w:val="0"/>
                <w:szCs w:val="21"/>
              </w:rPr>
            </w:pPr>
          </w:p>
        </w:tc>
        <w:tc>
          <w:tcPr>
            <w:tcW w:w="3812" w:type="dxa"/>
            <w:vAlign w:val="center"/>
          </w:tcPr>
          <w:p>
            <w:pPr>
              <w:widowControl/>
              <w:spacing w:line="360" w:lineRule="auto"/>
              <w:jc w:val="center"/>
              <w:rPr>
                <w:rFonts w:ascii="宋体" w:hAnsi="宋体" w:cs="宋体"/>
                <w:b/>
                <w:kern w:val="0"/>
                <w:szCs w:val="21"/>
              </w:rPr>
            </w:pPr>
            <w:r>
              <w:rPr>
                <w:rFonts w:hint="eastAsia" w:ascii="宋体" w:hAnsi="宋体"/>
                <w:b/>
                <w:szCs w:val="21"/>
              </w:rPr>
              <w:t>国家标准要求</w:t>
            </w:r>
          </w:p>
        </w:tc>
        <w:tc>
          <w:tcPr>
            <w:tcW w:w="4394" w:type="dxa"/>
            <w:gridSpan w:val="3"/>
            <w:vAlign w:val="center"/>
          </w:tcPr>
          <w:p>
            <w:pPr>
              <w:widowControl/>
              <w:spacing w:line="360" w:lineRule="auto"/>
              <w:jc w:val="center"/>
              <w:rPr>
                <w:rFonts w:ascii="宋体" w:hAnsi="宋体" w:cs="宋体"/>
                <w:b/>
                <w:kern w:val="0"/>
                <w:szCs w:val="21"/>
              </w:rPr>
            </w:pPr>
            <w:r>
              <w:rPr>
                <w:rFonts w:ascii="宋体" w:hAnsi="宋体" w:cs="宋体"/>
                <w:b/>
                <w:kern w:val="0"/>
                <w:szCs w:val="21"/>
              </w:rPr>
              <w:t>广西大学医学院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szCs w:val="21"/>
              </w:rPr>
            </w:pPr>
            <w:r>
              <w:rPr>
                <w:rFonts w:hint="eastAsia" w:ascii="宋体" w:hAnsi="宋体"/>
                <w:szCs w:val="21"/>
              </w:rPr>
              <w:t>总学分</w:t>
            </w:r>
          </w:p>
        </w:tc>
        <w:tc>
          <w:tcPr>
            <w:tcW w:w="3812" w:type="dxa"/>
            <w:vAlign w:val="center"/>
          </w:tcPr>
          <w:p>
            <w:pPr>
              <w:adjustRightInd w:val="0"/>
              <w:snapToGrid w:val="0"/>
              <w:spacing w:line="440" w:lineRule="exact"/>
              <w:jc w:val="center"/>
              <w:rPr>
                <w:rFonts w:ascii="宋体" w:hAnsi="宋体"/>
                <w:szCs w:val="21"/>
              </w:rPr>
            </w:pPr>
            <w:r>
              <w:rPr>
                <w:rFonts w:hint="eastAsia" w:ascii="宋体" w:hAnsi="宋体"/>
                <w:szCs w:val="21"/>
              </w:rPr>
              <w:t>1</w:t>
            </w:r>
            <w:r>
              <w:rPr>
                <w:rFonts w:ascii="宋体" w:hAnsi="宋体"/>
                <w:szCs w:val="21"/>
              </w:rPr>
              <w:t>40</w:t>
            </w:r>
            <w:r>
              <w:rPr>
                <w:rFonts w:ascii="Times New Roman" w:hAnsi="Times New Roman"/>
                <w:szCs w:val="21"/>
              </w:rPr>
              <w:t>~</w:t>
            </w:r>
            <w:r>
              <w:rPr>
                <w:rFonts w:ascii="宋体" w:hAnsi="宋体"/>
                <w:szCs w:val="21"/>
              </w:rPr>
              <w:t>180</w:t>
            </w:r>
          </w:p>
        </w:tc>
        <w:tc>
          <w:tcPr>
            <w:tcW w:w="1275" w:type="dxa"/>
            <w:vAlign w:val="center"/>
          </w:tcPr>
          <w:p>
            <w:pPr>
              <w:widowControl/>
              <w:spacing w:line="360" w:lineRule="auto"/>
              <w:jc w:val="center"/>
              <w:rPr>
                <w:rFonts w:ascii="宋体" w:hAnsi="宋体" w:cs="宋体"/>
                <w:kern w:val="0"/>
                <w:szCs w:val="21"/>
              </w:rPr>
            </w:pPr>
            <w:r>
              <w:rPr>
                <w:rFonts w:hint="eastAsia" w:ascii="宋体" w:hAnsi="宋体"/>
                <w:szCs w:val="21"/>
              </w:rPr>
              <w:t>总学分</w:t>
            </w:r>
          </w:p>
        </w:tc>
        <w:tc>
          <w:tcPr>
            <w:tcW w:w="3119" w:type="dxa"/>
            <w:gridSpan w:val="2"/>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kern w:val="0"/>
                <w:szCs w:val="21"/>
              </w:rPr>
            </w:pPr>
            <w:r>
              <w:rPr>
                <w:rFonts w:hint="eastAsia" w:ascii="宋体" w:hAnsi="宋体"/>
                <w:szCs w:val="21"/>
              </w:rPr>
              <w:t>通识类</w:t>
            </w:r>
          </w:p>
        </w:tc>
        <w:tc>
          <w:tcPr>
            <w:tcW w:w="3812" w:type="dxa"/>
            <w:vMerge w:val="restart"/>
            <w:vAlign w:val="center"/>
          </w:tcPr>
          <w:p>
            <w:pPr>
              <w:adjustRightInd w:val="0"/>
              <w:snapToGrid w:val="0"/>
              <w:spacing w:line="440" w:lineRule="exact"/>
              <w:jc w:val="left"/>
              <w:rPr>
                <w:rFonts w:ascii="宋体" w:hAnsi="宋体"/>
                <w:szCs w:val="21"/>
              </w:rPr>
            </w:pPr>
            <w:r>
              <w:rPr>
                <w:rFonts w:hint="eastAsia" w:ascii="宋体" w:hAnsi="宋体"/>
                <w:szCs w:val="21"/>
              </w:rPr>
              <w:t>①</w:t>
            </w:r>
            <w:r>
              <w:rPr>
                <w:rFonts w:ascii="宋体" w:hAnsi="宋体"/>
                <w:szCs w:val="21"/>
              </w:rPr>
              <w:t>除国家规定的教学内容外</w:t>
            </w:r>
            <w:r>
              <w:rPr>
                <w:rFonts w:hint="eastAsia" w:ascii="宋体" w:hAnsi="宋体"/>
                <w:szCs w:val="21"/>
              </w:rPr>
              <w:t>，</w:t>
            </w:r>
            <w:r>
              <w:rPr>
                <w:rFonts w:ascii="宋体" w:hAnsi="宋体"/>
                <w:szCs w:val="21"/>
              </w:rPr>
              <w:t>人文社会科学</w:t>
            </w:r>
            <w:r>
              <w:rPr>
                <w:rFonts w:hint="eastAsia" w:ascii="宋体" w:hAnsi="宋体"/>
                <w:szCs w:val="21"/>
              </w:rPr>
              <w:t>、</w:t>
            </w:r>
            <w:r>
              <w:rPr>
                <w:rFonts w:ascii="宋体" w:hAnsi="宋体"/>
                <w:szCs w:val="21"/>
              </w:rPr>
              <w:t>自然科学</w:t>
            </w:r>
            <w:r>
              <w:rPr>
                <w:rFonts w:hint="eastAsia" w:ascii="宋体" w:hAnsi="宋体"/>
                <w:szCs w:val="21"/>
              </w:rPr>
              <w:t>（数学、物理学等）、外语、计算机与信息技术、体育、艺术等内容由各高校确定；</w:t>
            </w:r>
          </w:p>
          <w:p>
            <w:pPr>
              <w:widowControl/>
              <w:spacing w:before="120" w:beforeLines="50" w:line="360" w:lineRule="auto"/>
              <w:jc w:val="center"/>
              <w:rPr>
                <w:rFonts w:ascii="宋体" w:hAnsi="宋体" w:cs="宋体"/>
                <w:kern w:val="0"/>
                <w:szCs w:val="21"/>
              </w:rPr>
            </w:pPr>
            <w:r>
              <w:rPr>
                <w:rFonts w:hint="eastAsia" w:ascii="宋体" w:hAnsi="宋体"/>
                <w:szCs w:val="21"/>
              </w:rPr>
              <w:t>②应开设研究方法、学科前沿、创业基础、就业创业指导等必修或选修课程</w:t>
            </w:r>
          </w:p>
        </w:tc>
        <w:tc>
          <w:tcPr>
            <w:tcW w:w="1275" w:type="dxa"/>
            <w:vMerge w:val="restart"/>
            <w:vAlign w:val="center"/>
          </w:tcPr>
          <w:p>
            <w:pPr>
              <w:widowControl/>
              <w:spacing w:line="360" w:lineRule="auto"/>
              <w:jc w:val="center"/>
              <w:rPr>
                <w:rFonts w:ascii="宋体" w:hAnsi="宋体" w:cs="宋体"/>
                <w:kern w:val="0"/>
                <w:szCs w:val="21"/>
              </w:rPr>
            </w:pPr>
            <w:r>
              <w:rPr>
                <w:rFonts w:ascii="宋体" w:hAnsi="宋体" w:cs="宋体"/>
                <w:kern w:val="0"/>
                <w:szCs w:val="21"/>
              </w:rPr>
              <w:t>通识必修</w:t>
            </w:r>
          </w:p>
        </w:tc>
        <w:tc>
          <w:tcPr>
            <w:tcW w:w="1985" w:type="dxa"/>
            <w:vAlign w:val="center"/>
          </w:tcPr>
          <w:p>
            <w:pPr>
              <w:rPr>
                <w:rFonts w:ascii="宋体" w:hAnsi="宋体"/>
                <w:szCs w:val="21"/>
              </w:rPr>
            </w:pPr>
            <w:r>
              <w:rPr>
                <w:rFonts w:hint="eastAsia" w:ascii="宋体" w:hAnsi="宋体"/>
                <w:szCs w:val="21"/>
              </w:rPr>
              <w:t>英语</w:t>
            </w:r>
          </w:p>
        </w:tc>
        <w:tc>
          <w:tcPr>
            <w:tcW w:w="1134" w:type="dxa"/>
            <w:vMerge w:val="restart"/>
            <w:vAlign w:val="center"/>
          </w:tcPr>
          <w:p>
            <w:pPr>
              <w:widowControl/>
              <w:spacing w:line="360" w:lineRule="auto"/>
              <w:jc w:val="center"/>
              <w:rPr>
                <w:rFonts w:ascii="宋体" w:hAnsi="宋体" w:cs="宋体"/>
                <w:kern w:val="0"/>
                <w:szCs w:val="21"/>
              </w:rPr>
            </w:pPr>
            <w:r>
              <w:rPr>
                <w:rFonts w:ascii="宋体" w:hAnsi="宋体" w:cs="宋体"/>
                <w:kern w:val="0"/>
                <w:szCs w:val="21"/>
              </w:rPr>
              <w:t>27学分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rPr>
                <w:rFonts w:ascii="宋体" w:hAnsi="宋体"/>
                <w:szCs w:val="21"/>
              </w:rPr>
            </w:pPr>
            <w:r>
              <w:rPr>
                <w:rFonts w:hint="eastAsia" w:ascii="宋体" w:hAnsi="宋体"/>
                <w:szCs w:val="21"/>
              </w:rPr>
              <w:t>计算机</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rPr>
                <w:rFonts w:ascii="宋体" w:hAnsi="宋体"/>
                <w:szCs w:val="21"/>
              </w:rPr>
            </w:pPr>
            <w:r>
              <w:rPr>
                <w:rFonts w:hint="eastAsia" w:ascii="宋体" w:hAnsi="宋体"/>
                <w:szCs w:val="21"/>
              </w:rPr>
              <w:t>体育</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rPr>
                <w:rFonts w:ascii="宋体" w:hAnsi="宋体"/>
                <w:szCs w:val="21"/>
              </w:rPr>
            </w:pPr>
            <w:r>
              <w:rPr>
                <w:rFonts w:hint="eastAsia" w:ascii="宋体" w:hAnsi="宋体"/>
                <w:szCs w:val="21"/>
              </w:rPr>
              <w:t>思政</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Align w:val="center"/>
          </w:tcPr>
          <w:p>
            <w:pPr>
              <w:widowControl/>
              <w:spacing w:line="360" w:lineRule="auto"/>
              <w:jc w:val="center"/>
              <w:rPr>
                <w:rFonts w:ascii="宋体" w:hAnsi="宋体" w:cs="宋体"/>
                <w:kern w:val="0"/>
                <w:szCs w:val="21"/>
              </w:rPr>
            </w:pPr>
            <w:r>
              <w:rPr>
                <w:rFonts w:ascii="宋体" w:hAnsi="宋体" w:cs="宋体"/>
                <w:kern w:val="0"/>
                <w:szCs w:val="21"/>
              </w:rPr>
              <w:t>通识选修</w:t>
            </w:r>
          </w:p>
        </w:tc>
        <w:tc>
          <w:tcPr>
            <w:tcW w:w="1985" w:type="dxa"/>
            <w:vAlign w:val="center"/>
          </w:tcPr>
          <w:p>
            <w:pPr>
              <w:rPr>
                <w:rFonts w:ascii="宋体" w:hAnsi="宋体"/>
                <w:szCs w:val="21"/>
              </w:rPr>
            </w:pPr>
            <w:r>
              <w:rPr>
                <w:rFonts w:hint="eastAsia" w:ascii="宋体" w:hAnsi="宋体"/>
                <w:szCs w:val="21"/>
              </w:rPr>
              <w:t>五大模块</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r>
              <w:rPr>
                <w:rFonts w:ascii="宋体" w:hAnsi="宋体" w:cs="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restart"/>
            <w:vAlign w:val="center"/>
          </w:tcPr>
          <w:p>
            <w:pPr>
              <w:widowControl/>
              <w:spacing w:line="360" w:lineRule="auto"/>
              <w:jc w:val="center"/>
              <w:rPr>
                <w:rFonts w:ascii="宋体" w:hAnsi="宋体" w:cs="宋体"/>
                <w:kern w:val="0"/>
                <w:szCs w:val="21"/>
              </w:rPr>
            </w:pPr>
            <w:r>
              <w:rPr>
                <w:rFonts w:hint="eastAsia" w:ascii="宋体" w:hAnsi="宋体"/>
                <w:szCs w:val="21"/>
              </w:rPr>
              <w:t>学门核心</w:t>
            </w:r>
          </w:p>
        </w:tc>
        <w:tc>
          <w:tcPr>
            <w:tcW w:w="1985" w:type="dxa"/>
            <w:vAlign w:val="center"/>
          </w:tcPr>
          <w:p>
            <w:pPr>
              <w:rPr>
                <w:rFonts w:ascii="宋体" w:hAnsi="宋体"/>
                <w:szCs w:val="21"/>
              </w:rPr>
            </w:pPr>
            <w:r>
              <w:rPr>
                <w:rFonts w:hint="eastAsia" w:ascii="宋体" w:hAnsi="宋体"/>
                <w:szCs w:val="21"/>
              </w:rPr>
              <w:t>高等数学</w:t>
            </w:r>
          </w:p>
        </w:tc>
        <w:tc>
          <w:tcPr>
            <w:tcW w:w="1134" w:type="dxa"/>
            <w:vMerge w:val="restart"/>
            <w:vAlign w:val="center"/>
          </w:tcPr>
          <w:p>
            <w:pPr>
              <w:widowControl/>
              <w:spacing w:line="360" w:lineRule="auto"/>
              <w:jc w:val="center"/>
              <w:rPr>
                <w:rFonts w:ascii="宋体" w:hAnsi="宋体" w:cs="宋体"/>
                <w:kern w:val="0"/>
                <w:szCs w:val="21"/>
              </w:rPr>
            </w:pPr>
            <w:r>
              <w:rPr>
                <w:rFonts w:ascii="宋体" w:hAnsi="宋体" w:cs="宋体"/>
                <w:kern w:val="0"/>
                <w:szCs w:val="21"/>
              </w:rPr>
              <w:t>23.5学分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szCs w:val="21"/>
              </w:rPr>
            </w:pPr>
          </w:p>
        </w:tc>
        <w:tc>
          <w:tcPr>
            <w:tcW w:w="1985" w:type="dxa"/>
            <w:vAlign w:val="center"/>
          </w:tcPr>
          <w:p>
            <w:pPr>
              <w:rPr>
                <w:rFonts w:ascii="宋体" w:hAnsi="宋体"/>
                <w:szCs w:val="21"/>
              </w:rPr>
            </w:pPr>
            <w:r>
              <w:rPr>
                <w:rFonts w:hint="eastAsia" w:ascii="宋体" w:hAnsi="宋体"/>
                <w:szCs w:val="21"/>
              </w:rPr>
              <w:t>大学物理</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szCs w:val="21"/>
              </w:rPr>
            </w:pPr>
          </w:p>
        </w:tc>
        <w:tc>
          <w:tcPr>
            <w:tcW w:w="1985" w:type="dxa"/>
            <w:vAlign w:val="center"/>
          </w:tcPr>
          <w:p>
            <w:pPr>
              <w:rPr>
                <w:rFonts w:ascii="宋体" w:hAnsi="宋体"/>
                <w:szCs w:val="21"/>
              </w:rPr>
            </w:pPr>
            <w:r>
              <w:rPr>
                <w:rFonts w:hint="eastAsia" w:ascii="宋体" w:hAnsi="宋体"/>
                <w:szCs w:val="21"/>
              </w:rPr>
              <w:t>数理统计</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szCs w:val="21"/>
              </w:rPr>
            </w:pPr>
          </w:p>
        </w:tc>
        <w:tc>
          <w:tcPr>
            <w:tcW w:w="1985" w:type="dxa"/>
            <w:vAlign w:val="center"/>
          </w:tcPr>
          <w:p>
            <w:pPr>
              <w:rPr>
                <w:rFonts w:ascii="宋体" w:hAnsi="宋体"/>
                <w:szCs w:val="21"/>
              </w:rPr>
            </w:pPr>
            <w:r>
              <w:rPr>
                <w:rFonts w:hint="eastAsia" w:ascii="宋体" w:hAnsi="宋体"/>
                <w:szCs w:val="21"/>
              </w:rPr>
              <w:t>线性代数</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kern w:val="0"/>
                <w:szCs w:val="21"/>
              </w:rPr>
            </w:pPr>
            <w:r>
              <w:rPr>
                <w:rFonts w:hint="eastAsia" w:ascii="宋体" w:hAnsi="宋体"/>
                <w:szCs w:val="21"/>
              </w:rPr>
              <w:t>基础课程</w:t>
            </w:r>
          </w:p>
        </w:tc>
        <w:tc>
          <w:tcPr>
            <w:tcW w:w="3812" w:type="dxa"/>
            <w:vMerge w:val="restart"/>
            <w:vAlign w:val="center"/>
          </w:tcPr>
          <w:p>
            <w:pPr>
              <w:widowControl/>
              <w:spacing w:line="360" w:lineRule="auto"/>
              <w:jc w:val="center"/>
              <w:rPr>
                <w:rFonts w:ascii="宋体" w:hAnsi="宋体" w:cs="宋体"/>
                <w:kern w:val="0"/>
                <w:szCs w:val="21"/>
              </w:rPr>
            </w:pPr>
            <w:r>
              <w:rPr>
                <w:rFonts w:ascii="宋体" w:hAnsi="宋体"/>
                <w:szCs w:val="21"/>
              </w:rPr>
              <w:t>主要包括化学类</w:t>
            </w:r>
            <w:r>
              <w:rPr>
                <w:rFonts w:hint="eastAsia" w:ascii="宋体" w:hAnsi="宋体"/>
                <w:szCs w:val="21"/>
              </w:rPr>
              <w:t>、</w:t>
            </w:r>
            <w:r>
              <w:rPr>
                <w:rFonts w:ascii="宋体" w:hAnsi="宋体"/>
                <w:szCs w:val="21"/>
              </w:rPr>
              <w:t>生物学类</w:t>
            </w:r>
            <w:r>
              <w:rPr>
                <w:rFonts w:hint="eastAsia" w:ascii="宋体" w:hAnsi="宋体"/>
                <w:szCs w:val="21"/>
              </w:rPr>
              <w:t>、</w:t>
            </w:r>
            <w:r>
              <w:rPr>
                <w:rFonts w:ascii="宋体" w:hAnsi="宋体"/>
                <w:szCs w:val="21"/>
              </w:rPr>
              <w:t>医学类课程</w:t>
            </w:r>
            <w:r>
              <w:rPr>
                <w:rFonts w:hint="eastAsia" w:ascii="宋体" w:hAnsi="宋体"/>
                <w:szCs w:val="21"/>
              </w:rPr>
              <w:t>，</w:t>
            </w:r>
            <w:r>
              <w:rPr>
                <w:rFonts w:ascii="宋体" w:hAnsi="宋体"/>
                <w:szCs w:val="21"/>
              </w:rPr>
              <w:t>主要有基础化学课程群</w:t>
            </w:r>
            <w:r>
              <w:rPr>
                <w:rFonts w:hint="eastAsia" w:ascii="宋体" w:hAnsi="宋体"/>
                <w:szCs w:val="21"/>
              </w:rPr>
              <w:t>（无机化学、有机化学、物理化学、分析化学等）、生物化学与分子生物学、微生物学、人体解剖生理学等</w:t>
            </w:r>
          </w:p>
        </w:tc>
        <w:tc>
          <w:tcPr>
            <w:tcW w:w="1275" w:type="dxa"/>
            <w:vMerge w:val="restart"/>
            <w:vAlign w:val="center"/>
          </w:tcPr>
          <w:p>
            <w:pPr>
              <w:widowControl/>
              <w:spacing w:line="360" w:lineRule="auto"/>
              <w:jc w:val="center"/>
              <w:rPr>
                <w:rFonts w:ascii="宋体" w:hAnsi="宋体" w:cs="宋体"/>
                <w:kern w:val="0"/>
                <w:szCs w:val="21"/>
              </w:rPr>
            </w:pPr>
            <w:r>
              <w:rPr>
                <w:rFonts w:ascii="宋体" w:hAnsi="宋体" w:cs="宋体"/>
                <w:kern w:val="0"/>
                <w:szCs w:val="21"/>
              </w:rPr>
              <w:t>学类核心</w:t>
            </w: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无机化学</w:t>
            </w:r>
          </w:p>
        </w:tc>
        <w:tc>
          <w:tcPr>
            <w:tcW w:w="1134" w:type="dxa"/>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有机化学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物理化学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分析化学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生物化学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szCs w:val="21"/>
              </w:rPr>
            </w:pPr>
          </w:p>
        </w:tc>
        <w:tc>
          <w:tcPr>
            <w:tcW w:w="1985" w:type="dxa"/>
            <w:vAlign w:val="center"/>
          </w:tcPr>
          <w:p>
            <w:pPr>
              <w:widowControl/>
              <w:spacing w:line="360" w:lineRule="auto"/>
              <w:jc w:val="left"/>
              <w:rPr>
                <w:rFonts w:ascii="宋体" w:hAnsi="宋体"/>
                <w:szCs w:val="21"/>
              </w:rPr>
            </w:pPr>
            <w:r>
              <w:rPr>
                <w:rFonts w:hint="eastAsia" w:ascii="宋体" w:hAnsi="宋体"/>
                <w:szCs w:val="21"/>
              </w:rPr>
              <w:t>分子生物学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微生物学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45" w:type="dxa"/>
            <w:vMerge w:val="continue"/>
            <w:vAlign w:val="center"/>
          </w:tcPr>
          <w:p>
            <w:pPr>
              <w:widowControl/>
              <w:spacing w:line="360" w:lineRule="auto"/>
              <w:jc w:val="center"/>
              <w:rPr>
                <w:rFonts w:ascii="宋体" w:hAnsi="宋体" w:cs="宋体"/>
                <w:kern w:val="0"/>
                <w:szCs w:val="21"/>
              </w:rPr>
            </w:pPr>
          </w:p>
        </w:tc>
        <w:tc>
          <w:tcPr>
            <w:tcW w:w="3812" w:type="dxa"/>
            <w:vMerge w:val="continue"/>
            <w:vAlign w:val="center"/>
          </w:tcPr>
          <w:p>
            <w:pPr>
              <w:widowControl/>
              <w:spacing w:line="360" w:lineRule="auto"/>
              <w:jc w:val="center"/>
              <w:rPr>
                <w:rFonts w:ascii="宋体" w:hAnsi="宋体" w:cs="宋体"/>
                <w:kern w:val="0"/>
                <w:szCs w:val="21"/>
              </w:rPr>
            </w:pPr>
          </w:p>
        </w:tc>
        <w:tc>
          <w:tcPr>
            <w:tcW w:w="1275" w:type="dxa"/>
            <w:vMerge w:val="restart"/>
            <w:vAlign w:val="center"/>
          </w:tcPr>
          <w:p>
            <w:pPr>
              <w:widowControl/>
              <w:spacing w:line="360" w:lineRule="auto"/>
              <w:jc w:val="center"/>
              <w:rPr>
                <w:rFonts w:ascii="宋体" w:hAnsi="宋体" w:cs="宋体"/>
                <w:kern w:val="0"/>
                <w:szCs w:val="21"/>
              </w:rPr>
            </w:pPr>
            <w:r>
              <w:rPr>
                <w:rFonts w:hint="eastAsia" w:ascii="宋体" w:hAnsi="宋体"/>
                <w:szCs w:val="21"/>
              </w:rPr>
              <w:t>专业必修</w:t>
            </w:r>
            <w:r>
              <w:rPr>
                <w:rFonts w:ascii="宋体" w:hAnsi="宋体"/>
                <w:szCs w:val="21"/>
              </w:rPr>
              <w:t>+专业选修</w:t>
            </w: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人体解剖生理学</w:t>
            </w:r>
          </w:p>
        </w:tc>
        <w:tc>
          <w:tcPr>
            <w:tcW w:w="1134" w:type="dxa"/>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r>
              <w:rPr>
                <w:rFonts w:hint="eastAsia" w:ascii="宋体" w:hAnsi="宋体" w:cs="宋体"/>
                <w:kern w:val="0"/>
                <w:szCs w:val="21"/>
              </w:rPr>
              <w:t>+</w:t>
            </w:r>
            <w:r>
              <w:rPr>
                <w:rFonts w:ascii="宋体" w:hAnsi="宋体" w:cs="宋体"/>
                <w:color w:val="FF0000"/>
                <w:kern w:val="0"/>
                <w:szCs w:val="21"/>
              </w:rPr>
              <w:t>17</w:t>
            </w:r>
            <w:r>
              <w:rPr>
                <w:rFonts w:hint="eastAsia" w:ascii="宋体" w:hAnsi="宋体" w:cs="宋体"/>
                <w:kern w:val="0"/>
                <w:szCs w:val="21"/>
              </w:rPr>
              <w:t>）</w:t>
            </w:r>
            <w:r>
              <w:rPr>
                <w:rFonts w:ascii="宋体" w:hAnsi="宋体" w:cs="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kern w:val="0"/>
                <w:szCs w:val="21"/>
              </w:rPr>
            </w:pPr>
            <w:r>
              <w:rPr>
                <w:rFonts w:hint="eastAsia" w:ascii="宋体" w:hAnsi="宋体"/>
                <w:szCs w:val="21"/>
              </w:rPr>
              <w:t>专业核心课程</w:t>
            </w:r>
          </w:p>
        </w:tc>
        <w:tc>
          <w:tcPr>
            <w:tcW w:w="3812" w:type="dxa"/>
            <w:vMerge w:val="restart"/>
            <w:vAlign w:val="center"/>
          </w:tcPr>
          <w:p>
            <w:pPr>
              <w:widowControl/>
              <w:spacing w:line="360" w:lineRule="auto"/>
              <w:jc w:val="center"/>
              <w:rPr>
                <w:rFonts w:ascii="宋体" w:hAnsi="宋体" w:cs="宋体"/>
                <w:kern w:val="0"/>
                <w:szCs w:val="21"/>
              </w:rPr>
            </w:pPr>
            <w:r>
              <w:rPr>
                <w:rFonts w:hint="eastAsia" w:ascii="宋体" w:hAnsi="宋体"/>
                <w:szCs w:val="21"/>
              </w:rPr>
              <w:t>药物化学、药剂学、药理学、药物分析、药事管理等</w:t>
            </w: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药物化学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widowControl/>
              <w:spacing w:line="360" w:lineRule="auto"/>
              <w:jc w:val="center"/>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药剂学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widowControl/>
              <w:spacing w:line="360" w:lineRule="auto"/>
              <w:jc w:val="center"/>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药理学</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widowControl/>
              <w:spacing w:line="360" w:lineRule="auto"/>
              <w:jc w:val="center"/>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cs="宋体"/>
                <w:kern w:val="0"/>
                <w:szCs w:val="21"/>
              </w:rPr>
            </w:pPr>
            <w:r>
              <w:rPr>
                <w:rFonts w:hint="eastAsia" w:ascii="宋体" w:hAnsi="宋体"/>
                <w:szCs w:val="21"/>
              </w:rPr>
              <w:t>药物分析</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widowControl/>
              <w:spacing w:line="360" w:lineRule="auto"/>
              <w:jc w:val="center"/>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spacing w:line="360" w:lineRule="auto"/>
              <w:jc w:val="left"/>
              <w:rPr>
                <w:rFonts w:ascii="宋体" w:hAnsi="宋体"/>
                <w:szCs w:val="21"/>
              </w:rPr>
            </w:pPr>
            <w:r>
              <w:rPr>
                <w:rFonts w:hint="eastAsia" w:ascii="宋体" w:hAnsi="宋体"/>
                <w:szCs w:val="21"/>
              </w:rPr>
              <w:t>药事管理</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145" w:type="dxa"/>
            <w:vMerge w:val="restart"/>
            <w:vAlign w:val="center"/>
          </w:tcPr>
          <w:p>
            <w:pPr>
              <w:widowControl/>
              <w:spacing w:line="360" w:lineRule="auto"/>
              <w:jc w:val="center"/>
              <w:rPr>
                <w:rFonts w:ascii="宋体" w:hAnsi="宋体"/>
                <w:szCs w:val="21"/>
              </w:rPr>
            </w:pPr>
            <w:r>
              <w:rPr>
                <w:rFonts w:ascii="宋体" w:hAnsi="宋体"/>
                <w:szCs w:val="21"/>
              </w:rPr>
              <w:t>专业实践环节</w:t>
            </w:r>
          </w:p>
        </w:tc>
        <w:tc>
          <w:tcPr>
            <w:tcW w:w="3812" w:type="dxa"/>
            <w:vMerge w:val="restart"/>
            <w:vAlign w:val="center"/>
          </w:tcPr>
          <w:p>
            <w:pPr>
              <w:adjustRightInd w:val="0"/>
              <w:snapToGrid w:val="0"/>
              <w:spacing w:line="440" w:lineRule="exact"/>
              <w:jc w:val="left"/>
              <w:rPr>
                <w:rFonts w:ascii="宋体" w:hAnsi="宋体"/>
                <w:szCs w:val="21"/>
              </w:rPr>
            </w:pPr>
            <w:r>
              <w:rPr>
                <w:rFonts w:hint="eastAsia" w:ascii="宋体" w:hAnsi="宋体"/>
                <w:szCs w:val="21"/>
              </w:rPr>
              <w:t>①</w:t>
            </w:r>
            <w:r>
              <w:rPr>
                <w:rFonts w:ascii="宋体" w:hAnsi="宋体"/>
                <w:szCs w:val="21"/>
              </w:rPr>
              <w:t>主要包括实验</w:t>
            </w:r>
            <w:r>
              <w:rPr>
                <w:rFonts w:hint="eastAsia" w:ascii="宋体" w:hAnsi="宋体"/>
                <w:szCs w:val="21"/>
              </w:rPr>
              <w:t>、</w:t>
            </w:r>
            <w:r>
              <w:rPr>
                <w:rFonts w:ascii="宋体" w:hAnsi="宋体"/>
                <w:szCs w:val="21"/>
              </w:rPr>
              <w:t>实训</w:t>
            </w:r>
            <w:r>
              <w:rPr>
                <w:rFonts w:hint="eastAsia" w:ascii="宋体" w:hAnsi="宋体"/>
                <w:szCs w:val="21"/>
              </w:rPr>
              <w:t>、</w:t>
            </w:r>
            <w:r>
              <w:rPr>
                <w:rFonts w:ascii="宋体" w:hAnsi="宋体"/>
                <w:szCs w:val="21"/>
              </w:rPr>
              <w:t>毕业实习</w:t>
            </w:r>
            <w:r>
              <w:rPr>
                <w:rFonts w:hint="eastAsia" w:ascii="宋体" w:hAnsi="宋体"/>
                <w:szCs w:val="21"/>
              </w:rPr>
              <w:t>、</w:t>
            </w:r>
            <w:r>
              <w:rPr>
                <w:rFonts w:ascii="宋体" w:hAnsi="宋体"/>
                <w:szCs w:val="21"/>
              </w:rPr>
              <w:t>毕业论文</w:t>
            </w:r>
            <w:r>
              <w:rPr>
                <w:rFonts w:hint="eastAsia" w:ascii="宋体" w:hAnsi="宋体"/>
                <w:szCs w:val="21"/>
              </w:rPr>
              <w:t>（设计）、科研训练、社会实践等；</w:t>
            </w:r>
          </w:p>
          <w:p>
            <w:pPr>
              <w:adjustRightInd w:val="0"/>
              <w:snapToGrid w:val="0"/>
              <w:spacing w:line="440" w:lineRule="exact"/>
              <w:jc w:val="left"/>
              <w:rPr>
                <w:rFonts w:ascii="宋体" w:hAnsi="宋体"/>
                <w:szCs w:val="21"/>
              </w:rPr>
            </w:pPr>
            <w:r>
              <w:rPr>
                <w:rFonts w:hint="eastAsia" w:ascii="宋体" w:hAnsi="宋体"/>
                <w:szCs w:val="21"/>
              </w:rPr>
              <w:t>②</w:t>
            </w:r>
            <w:r>
              <w:rPr>
                <w:rFonts w:ascii="宋体" w:hAnsi="宋体"/>
                <w:szCs w:val="21"/>
              </w:rPr>
              <w:t>化学类</w:t>
            </w:r>
            <w:r>
              <w:rPr>
                <w:rFonts w:hint="eastAsia" w:ascii="宋体" w:hAnsi="宋体"/>
                <w:szCs w:val="21"/>
              </w:rPr>
              <w:t>、</w:t>
            </w:r>
            <w:r>
              <w:rPr>
                <w:rFonts w:ascii="宋体" w:hAnsi="宋体"/>
                <w:szCs w:val="21"/>
              </w:rPr>
              <w:t>生物学类</w:t>
            </w:r>
            <w:r>
              <w:rPr>
                <w:rFonts w:hint="eastAsia" w:ascii="宋体" w:hAnsi="宋体"/>
                <w:szCs w:val="21"/>
              </w:rPr>
              <w:t>、</w:t>
            </w:r>
            <w:r>
              <w:rPr>
                <w:rFonts w:ascii="宋体" w:hAnsi="宋体"/>
                <w:szCs w:val="21"/>
              </w:rPr>
              <w:t>医学类基础课程和药学类专业课程的实验课程与理论课程学时比高于等于</w:t>
            </w:r>
            <w:r>
              <w:rPr>
                <w:rFonts w:hint="eastAsia" w:ascii="宋体" w:hAnsi="宋体"/>
                <w:szCs w:val="21"/>
              </w:rPr>
              <w:t>0.8:1，或实验课总学时不少于550学时；</w:t>
            </w:r>
          </w:p>
          <w:p>
            <w:pPr>
              <w:widowControl/>
              <w:spacing w:before="120" w:beforeLines="50" w:line="360" w:lineRule="auto"/>
              <w:jc w:val="center"/>
              <w:rPr>
                <w:rFonts w:ascii="宋体" w:hAnsi="宋体"/>
                <w:szCs w:val="21"/>
              </w:rPr>
            </w:pPr>
            <w:r>
              <w:rPr>
                <w:rFonts w:hint="eastAsia" w:ascii="宋体" w:hAnsi="宋体"/>
                <w:szCs w:val="21"/>
              </w:rPr>
              <w:t>③毕业实习与毕业论文（设计）的时间不少于16周。</w:t>
            </w:r>
          </w:p>
        </w:tc>
        <w:tc>
          <w:tcPr>
            <w:tcW w:w="1275" w:type="dxa"/>
            <w:vMerge w:val="restart"/>
            <w:vAlign w:val="center"/>
          </w:tcPr>
          <w:p>
            <w:pPr>
              <w:widowControl/>
              <w:spacing w:line="360" w:lineRule="auto"/>
              <w:jc w:val="center"/>
              <w:rPr>
                <w:rFonts w:ascii="宋体" w:hAnsi="宋体" w:cs="宋体"/>
                <w:kern w:val="0"/>
                <w:szCs w:val="21"/>
              </w:rPr>
            </w:pPr>
            <w:r>
              <w:rPr>
                <w:rFonts w:ascii="宋体" w:hAnsi="宋体" w:cs="宋体"/>
                <w:kern w:val="0"/>
                <w:szCs w:val="21"/>
              </w:rPr>
              <w:t>集中实践</w:t>
            </w:r>
          </w:p>
        </w:tc>
        <w:tc>
          <w:tcPr>
            <w:tcW w:w="1985" w:type="dxa"/>
            <w:vAlign w:val="center"/>
          </w:tcPr>
          <w:p>
            <w:pPr>
              <w:widowControl/>
              <w:jc w:val="left"/>
              <w:rPr>
                <w:rFonts w:ascii="宋体" w:hAnsi="宋体"/>
                <w:szCs w:val="21"/>
              </w:rPr>
            </w:pPr>
            <w:r>
              <w:rPr>
                <w:rFonts w:ascii="宋体" w:hAnsi="宋体" w:cs="宋体"/>
                <w:kern w:val="0"/>
                <w:szCs w:val="21"/>
              </w:rPr>
              <w:t>毕业实习</w:t>
            </w:r>
            <w:r>
              <w:rPr>
                <w:rFonts w:hint="eastAsia" w:ascii="宋体" w:hAnsi="宋体" w:cs="宋体"/>
                <w:kern w:val="0"/>
                <w:szCs w:val="21"/>
              </w:rPr>
              <w:t>（1</w:t>
            </w:r>
            <w:r>
              <w:rPr>
                <w:rFonts w:ascii="宋体" w:hAnsi="宋体" w:cs="宋体"/>
                <w:kern w:val="0"/>
                <w:szCs w:val="21"/>
              </w:rPr>
              <w:t>2周</w:t>
            </w:r>
            <w:r>
              <w:rPr>
                <w:rFonts w:hint="eastAsia" w:ascii="宋体" w:hAnsi="宋体" w:cs="宋体"/>
                <w:kern w:val="0"/>
                <w:szCs w:val="21"/>
              </w:rPr>
              <w:t>）</w:t>
            </w:r>
          </w:p>
        </w:tc>
        <w:tc>
          <w:tcPr>
            <w:tcW w:w="1134" w:type="dxa"/>
            <w:vMerge w:val="restart"/>
            <w:vAlign w:val="center"/>
          </w:tcPr>
          <w:p>
            <w:pPr>
              <w:widowControl/>
              <w:spacing w:line="360" w:lineRule="auto"/>
              <w:jc w:val="center"/>
              <w:rPr>
                <w:rFonts w:ascii="宋体" w:hAnsi="宋体" w:cs="宋体"/>
                <w:kern w:val="0"/>
                <w:szCs w:val="21"/>
              </w:rPr>
            </w:pPr>
            <w:r>
              <w:rPr>
                <w:rFonts w:hint="eastAsia" w:ascii="宋体" w:hAnsi="宋体" w:cs="宋体"/>
                <w:color w:val="FF0000"/>
                <w:kern w:val="0"/>
                <w:szCs w:val="21"/>
              </w:rPr>
              <w:t>3</w:t>
            </w:r>
            <w:r>
              <w:rPr>
                <w:rFonts w:ascii="宋体" w:hAnsi="宋体" w:cs="宋体"/>
                <w:color w:val="FF0000"/>
                <w:kern w:val="0"/>
                <w:szCs w:val="21"/>
              </w:rPr>
              <w:t>3</w:t>
            </w:r>
            <w:r>
              <w:rPr>
                <w:rFonts w:ascii="宋体" w:hAnsi="宋体" w:cs="宋体"/>
                <w:kern w:val="0"/>
                <w:szCs w:val="21"/>
              </w:rPr>
              <w:t>学分</w:t>
            </w:r>
            <w:r>
              <w:rPr>
                <w:rFonts w:hint="eastAsia" w:ascii="宋体" w:hAnsi="宋体" w:cs="宋体"/>
                <w:kern w:val="0"/>
                <w:szCs w:val="21"/>
              </w:rPr>
              <w:t>，</w:t>
            </w:r>
          </w:p>
          <w:p>
            <w:pPr>
              <w:widowControl/>
              <w:spacing w:line="360" w:lineRule="auto"/>
              <w:jc w:val="center"/>
              <w:rPr>
                <w:rFonts w:ascii="宋体" w:hAnsi="宋体" w:cs="宋体"/>
                <w:kern w:val="0"/>
                <w:szCs w:val="21"/>
              </w:rPr>
            </w:pPr>
            <w:r>
              <w:rPr>
                <w:rFonts w:hint="eastAsia" w:ascii="宋体" w:hAnsi="宋体"/>
                <w:szCs w:val="21"/>
              </w:rPr>
              <w:t>实验课总学时超过1</w:t>
            </w:r>
            <w:r>
              <w:rPr>
                <w:rFonts w:ascii="宋体" w:hAnsi="宋体"/>
                <w:szCs w:val="21"/>
              </w:rPr>
              <w:t>00</w:t>
            </w:r>
            <w:r>
              <w:rPr>
                <w:rFonts w:hint="eastAsia" w:ascii="宋体" w:hAnsi="宋体"/>
                <w:szCs w:val="21"/>
              </w:rPr>
              <w:t>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vAlign w:val="center"/>
          </w:tcPr>
          <w:p>
            <w:pPr>
              <w:widowControl/>
              <w:jc w:val="left"/>
              <w:rPr>
                <w:rFonts w:ascii="宋体" w:hAnsi="宋体"/>
                <w:szCs w:val="21"/>
              </w:rPr>
            </w:pPr>
            <w:r>
              <w:rPr>
                <w:rFonts w:ascii="宋体" w:hAnsi="宋体" w:cs="宋体"/>
                <w:kern w:val="0"/>
                <w:szCs w:val="21"/>
              </w:rPr>
              <w:t>毕业设计</w:t>
            </w:r>
            <w:r>
              <w:rPr>
                <w:rFonts w:hint="eastAsia" w:ascii="宋体" w:hAnsi="宋体" w:cs="宋体"/>
                <w:kern w:val="0"/>
                <w:szCs w:val="21"/>
              </w:rPr>
              <w:t>（论文）（1</w:t>
            </w:r>
            <w:r>
              <w:rPr>
                <w:rFonts w:ascii="宋体" w:hAnsi="宋体" w:cs="宋体"/>
                <w:kern w:val="0"/>
                <w:szCs w:val="21"/>
              </w:rPr>
              <w:t>2周</w:t>
            </w:r>
            <w:r>
              <w:rPr>
                <w:rFonts w:hint="eastAsia" w:ascii="宋体" w:hAnsi="宋体" w:cs="宋体"/>
                <w:kern w:val="0"/>
                <w:szCs w:val="21"/>
              </w:rPr>
              <w:t>）</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色谱与波谱分析实验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药物化学实验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天然药物化学实验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药剂学实验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药物分析实验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药理学实验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药物合成反应实验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药物分子设计实验</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45" w:type="dxa"/>
            <w:vMerge w:val="continue"/>
            <w:vAlign w:val="center"/>
          </w:tcPr>
          <w:p>
            <w:pPr>
              <w:widowControl/>
              <w:spacing w:line="360" w:lineRule="auto"/>
              <w:jc w:val="center"/>
              <w:rPr>
                <w:rFonts w:ascii="宋体" w:hAnsi="宋体"/>
                <w:szCs w:val="21"/>
              </w:rPr>
            </w:pPr>
          </w:p>
        </w:tc>
        <w:tc>
          <w:tcPr>
            <w:tcW w:w="3812" w:type="dxa"/>
            <w:vMerge w:val="continue"/>
            <w:vAlign w:val="center"/>
          </w:tcPr>
          <w:p>
            <w:pPr>
              <w:adjustRightInd w:val="0"/>
              <w:snapToGrid w:val="0"/>
              <w:spacing w:line="440" w:lineRule="exact"/>
              <w:jc w:val="left"/>
              <w:rPr>
                <w:rFonts w:ascii="宋体" w:hAnsi="宋体"/>
                <w:szCs w:val="21"/>
              </w:rPr>
            </w:pPr>
          </w:p>
        </w:tc>
        <w:tc>
          <w:tcPr>
            <w:tcW w:w="1275" w:type="dxa"/>
            <w:vMerge w:val="continue"/>
            <w:vAlign w:val="center"/>
          </w:tcPr>
          <w:p>
            <w:pPr>
              <w:widowControl/>
              <w:spacing w:line="360" w:lineRule="auto"/>
              <w:jc w:val="center"/>
              <w:rPr>
                <w:rFonts w:ascii="宋体" w:hAnsi="宋体" w:cs="宋体"/>
                <w:kern w:val="0"/>
                <w:szCs w:val="21"/>
              </w:rPr>
            </w:pPr>
          </w:p>
        </w:tc>
        <w:tc>
          <w:tcPr>
            <w:tcW w:w="1985" w:type="dxa"/>
            <w:tcBorders>
              <w:top w:val="nil"/>
              <w:left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8"/>
                <w:szCs w:val="18"/>
              </w:rPr>
              <w:t>导师制课程</w:t>
            </w:r>
          </w:p>
        </w:tc>
        <w:tc>
          <w:tcPr>
            <w:tcW w:w="1134" w:type="dxa"/>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45" w:type="dxa"/>
            <w:vAlign w:val="center"/>
          </w:tcPr>
          <w:p>
            <w:pPr>
              <w:widowControl/>
              <w:jc w:val="center"/>
              <w:rPr>
                <w:rFonts w:ascii="宋体" w:hAnsi="宋体"/>
                <w:szCs w:val="21"/>
              </w:rPr>
            </w:pPr>
            <w:r>
              <w:rPr>
                <w:rFonts w:hint="eastAsia" w:ascii="宋体" w:hAnsi="宋体"/>
                <w:szCs w:val="21"/>
              </w:rPr>
              <w:t>对标结果</w:t>
            </w:r>
          </w:p>
        </w:tc>
        <w:tc>
          <w:tcPr>
            <w:tcW w:w="8206" w:type="dxa"/>
            <w:gridSpan w:val="4"/>
            <w:vAlign w:val="center"/>
          </w:tcPr>
          <w:p>
            <w:pPr>
              <w:widowControl/>
              <w:jc w:val="center"/>
              <w:rPr>
                <w:rFonts w:ascii="宋体" w:hAnsi="宋体" w:cs="宋体"/>
                <w:kern w:val="0"/>
                <w:szCs w:val="21"/>
              </w:rPr>
            </w:pPr>
            <w:r>
              <w:rPr>
                <w:rFonts w:hint="eastAsia" w:ascii="宋体" w:hAnsi="宋体" w:cs="宋体"/>
                <w:kern w:val="0"/>
                <w:szCs w:val="21"/>
              </w:rPr>
              <w:t>符合国家标准</w:t>
            </w:r>
          </w:p>
        </w:tc>
      </w:tr>
    </w:tbl>
    <w:p>
      <w:pPr>
        <w:widowControl/>
        <w:spacing w:line="360" w:lineRule="auto"/>
        <w:rPr>
          <w:rFonts w:ascii="Times New Roman" w:hAnsi="Times New Roman" w:cs="宋体"/>
          <w:kern w:val="0"/>
          <w:sz w:val="18"/>
          <w:szCs w:val="18"/>
        </w:rPr>
      </w:pPr>
    </w:p>
    <w:p>
      <w:pPr>
        <w:widowControl/>
        <w:spacing w:line="360" w:lineRule="auto"/>
        <w:rPr>
          <w:rFonts w:ascii="Times New Roman" w:hAnsi="Times New Roman" w:cs="宋体"/>
          <w:kern w:val="0"/>
          <w:sz w:val="18"/>
          <w:szCs w:val="18"/>
        </w:rPr>
      </w:pPr>
      <w:r>
        <w:rPr>
          <w:rFonts w:hint="eastAsia" w:ascii="Times New Roman" w:hAnsi="Times New Roman" w:cs="宋体"/>
          <w:kern w:val="0"/>
          <w:sz w:val="18"/>
          <w:szCs w:val="18"/>
        </w:rPr>
        <w:t>备注：国标要求内容与学校表格不一致的，可将国标表格拆分单列。</w:t>
      </w:r>
    </w:p>
    <w:p>
      <w:pPr>
        <w:widowControl/>
        <w:spacing w:line="360" w:lineRule="auto"/>
        <w:rPr>
          <w:rFonts w:ascii="Times New Roman" w:hAnsi="Times New Roman" w:cs="宋体"/>
          <w:kern w:val="0"/>
          <w:sz w:val="24"/>
        </w:rPr>
      </w:pPr>
    </w:p>
    <w:p>
      <w:pPr>
        <w:widowControl/>
        <w:numPr>
          <w:ilvl w:val="0"/>
          <w:numId w:val="1"/>
        </w:numPr>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学生修满培养方案（教学计划）规定的必修课、选修课及有关环节，达到该专业教学计划规定的最低毕业学分数，并修完规定必须修读但不记学分的所有课程和环节，德、智、体、劳合格，即可毕业。满足学位授予相关文件要求的，授予药学学士学位。</w:t>
      </w:r>
    </w:p>
    <w:p>
      <w:pPr>
        <w:widowControl/>
        <w:numPr>
          <w:ilvl w:val="0"/>
          <w:numId w:val="1"/>
        </w:numPr>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其他课程修读要求及选课说明：各专业应简要说明学生各部分课程修读要求（包括体测、普通话、创新学分等），短学期修读要求，研究生课程修读要求，国际学生、港澳台学生修读要求等。</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 xml:space="preserve">（1）通识教育课 </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必修课：每个学生应选 27 学分。其中《心理素质与生涯发展》由《大学生心理健康教育》与《大学生就业与创业指导》2门课程构成。</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选修课：每个学生至少应选 8 学分，其中修读人文艺术类课程不少于 2 学分。创新创业基础知识模块和领军人才素质教育模块各修</w:t>
      </w:r>
      <w:r>
        <w:rPr>
          <w:rFonts w:ascii="Times New Roman" w:hAnsi="Times New Roman" w:cs="宋体"/>
          <w:kern w:val="0"/>
          <w:sz w:val="24"/>
        </w:rPr>
        <w:t>2学分</w:t>
      </w:r>
      <w:r>
        <w:rPr>
          <w:rFonts w:hint="eastAsia" w:ascii="Times New Roman" w:hAnsi="Times New Roman" w:cs="宋体"/>
          <w:kern w:val="0"/>
          <w:sz w:val="24"/>
        </w:rPr>
        <w:t>，海洋知识与可持续发展模块、经济类或管理类模块至少应修 1 门课程。《创业基础》《中文写作实训》《逻辑与批判性思维》为限选，广西少数民族文化与现代发展模块、中国东盟历史文化与社会发展模块为选修；纯网络课程修读不超过总修读课程的50%。</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（2）学门核心课 必修课：每个学生应选 2</w:t>
      </w:r>
      <w:r>
        <w:rPr>
          <w:rFonts w:ascii="Times New Roman" w:hAnsi="Times New Roman" w:cs="宋体"/>
          <w:kern w:val="0"/>
          <w:sz w:val="24"/>
        </w:rPr>
        <w:t>3</w:t>
      </w:r>
      <w:r>
        <w:rPr>
          <w:rFonts w:hint="eastAsia" w:ascii="Times New Roman" w:hAnsi="Times New Roman" w:cs="宋体"/>
          <w:kern w:val="0"/>
          <w:sz w:val="24"/>
        </w:rPr>
        <w:t xml:space="preserve">.5 学分。 </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 xml:space="preserve">（3）学类核心课 必修课：每个学生应选 </w:t>
      </w:r>
      <w:r>
        <w:rPr>
          <w:rFonts w:ascii="Times New Roman" w:hAnsi="Times New Roman" w:cs="宋体"/>
          <w:kern w:val="0"/>
          <w:sz w:val="24"/>
        </w:rPr>
        <w:t>30</w:t>
      </w:r>
      <w:r>
        <w:rPr>
          <w:rFonts w:hint="eastAsia" w:ascii="Times New Roman" w:hAnsi="Times New Roman" w:cs="宋体"/>
          <w:kern w:val="0"/>
          <w:sz w:val="24"/>
        </w:rPr>
        <w:t xml:space="preserve">.5 学分。 </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（4）专业领域课 必修课：每个学生应选 1</w:t>
      </w:r>
      <w:r>
        <w:rPr>
          <w:rFonts w:ascii="Times New Roman" w:hAnsi="Times New Roman" w:cs="宋体"/>
          <w:kern w:val="0"/>
          <w:sz w:val="24"/>
        </w:rPr>
        <w:t xml:space="preserve">1 </w:t>
      </w:r>
      <w:r>
        <w:rPr>
          <w:rFonts w:hint="eastAsia" w:ascii="Times New Roman" w:hAnsi="Times New Roman" w:cs="宋体"/>
          <w:kern w:val="0"/>
          <w:sz w:val="24"/>
        </w:rPr>
        <w:t xml:space="preserve">学分。 选修课：每个学生应不少于 </w:t>
      </w:r>
      <w:r>
        <w:rPr>
          <w:rFonts w:hint="eastAsia" w:ascii="Times New Roman" w:hAnsi="Times New Roman" w:cs="宋体"/>
          <w:color w:val="FF0000"/>
          <w:kern w:val="0"/>
          <w:sz w:val="24"/>
        </w:rPr>
        <w:t>1</w:t>
      </w:r>
      <w:r>
        <w:rPr>
          <w:rFonts w:ascii="Times New Roman" w:hAnsi="Times New Roman" w:cs="宋体"/>
          <w:color w:val="FF0000"/>
          <w:kern w:val="0"/>
          <w:sz w:val="24"/>
        </w:rPr>
        <w:t>7</w:t>
      </w:r>
      <w:r>
        <w:rPr>
          <w:rFonts w:hint="eastAsia" w:ascii="Times New Roman" w:hAnsi="Times New Roman" w:cs="宋体"/>
          <w:kern w:val="0"/>
          <w:sz w:val="24"/>
        </w:rPr>
        <w:t>学分，其中包含 4</w:t>
      </w:r>
      <w:r>
        <w:rPr>
          <w:rFonts w:ascii="Times New Roman" w:hAnsi="Times New Roman" w:cs="宋体"/>
          <w:kern w:val="0"/>
          <w:sz w:val="24"/>
        </w:rPr>
        <w:t xml:space="preserve"> </w:t>
      </w:r>
      <w:r>
        <w:rPr>
          <w:rFonts w:hint="eastAsia" w:ascii="Times New Roman" w:hAnsi="Times New Roman" w:cs="宋体"/>
          <w:kern w:val="0"/>
          <w:sz w:val="24"/>
        </w:rPr>
        <w:t>学分的弹性制大学英语学分，详见（9）。</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 xml:space="preserve">（5）实践课 必修课：每个学生应选 </w:t>
      </w:r>
      <w:r>
        <w:rPr>
          <w:rFonts w:hint="eastAsia" w:ascii="Times New Roman" w:hAnsi="Times New Roman" w:cs="宋体"/>
          <w:color w:val="FF0000"/>
          <w:kern w:val="0"/>
          <w:sz w:val="24"/>
        </w:rPr>
        <w:t>3</w:t>
      </w:r>
      <w:r>
        <w:rPr>
          <w:rFonts w:ascii="Times New Roman" w:hAnsi="Times New Roman" w:cs="宋体"/>
          <w:color w:val="FF0000"/>
          <w:kern w:val="0"/>
          <w:sz w:val="24"/>
        </w:rPr>
        <w:t>3</w:t>
      </w:r>
      <w:r>
        <w:rPr>
          <w:rFonts w:hint="eastAsia" w:ascii="Times New Roman" w:hAnsi="Times New Roman" w:cs="宋体"/>
          <w:kern w:val="0"/>
          <w:sz w:val="24"/>
        </w:rPr>
        <w:t xml:space="preserve"> 学分。 </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 xml:space="preserve">（6）关于普通话、劳动、安全教育与军事训练学分要求的说明 本专业学生必须按学校要求，完成 “普通话测试”, 完成安全教育与军事训练 2 周，劳动总和 1 周。以上课程必修完成但不计学分，不收取学费。 </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（7）关于创新创业实践学分的说明 创新实践学分要求不少于 2 学分。创新创业实践环节 2 学分，是指全日制本科生在校期间，参加第一课堂外的各类活动，取得具有一定创新意义的智力劳动成果或其他优秀成果，经学校评定获得的学分，由“科研学分”、“学科竞赛学分”、“技能学分”、“社会实践学分”和“创业实践学分”构成。创新创业学分的获得请参见广西大学关于创新实践学分的相关实施办法（获得的超额创新创业学分，仅能抵扣本专业非主干选修课）。</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“科研学分”是指主持或参与科学研究项目、公开发表学术论著、研究成果获奖、获国家专利等所获得的相应学分。</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“学科竞赛学分”是指参加学科竞赛、科技活动、文艺表演等，获校级及以上奖励所获得的相应学分。</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“技能学分”是指通过培训或考试获得各类技能或资格证书而获得的相应学分。</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“社会实践学分”是指通过参加各类社会实践、调查、志愿者服务等活动获奖、写出较高质量的调查报告或研究论文，经 审核、认定而获得的学分。</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 xml:space="preserve">“创业实践学分”是指学生注册公司、工作室、事务所等并成功经营达到一定时间，或是参加其他创业活动，经审核、认定而获得的学分。 </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（8）学生可在本科阶段选修药学硕士研究生一年级课程（所选课程可认定替换通识选修课程、专业选修课学分，选课前需报教务处、研究生处备案，认定、替换方案由教务处审批）。</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（9）大学英语 实行 4-8 弹性学分制。普通本科生入学后在本课程两年正常修读期内需参加全国大学英语四级或六级考试（或雅思、托福 等国际权威英语等级考试）。学生的全国统考四级（CET4）笔试成绩≥ 480 分或六级（CET6）笔试成绩≥ 450 分，且至少完成和通过了 2 门共 4 学分的课程学习后，凭有效成绩证明即可申请以 4 学分完成大学英语必修课程的修读。此类学生在修读获得 4 学分后，仍可通过不同方式保持英语学习四年不断线，如自愿交费在正修课时间段内修读多于必修的 2 门大学英语课程（含基础英语类和高级英语类），或参加后续英语选修课程、双语专业课程、全英专业课程学习等，并可任选其中两门成绩最高的作为毕业课程成绩计算绩点。</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两年正常修读期内未达到 4 学分制修读条件但通过了全国大学英语四级考试的学生（CET4 达 425 分），从第三学期起可以不再修读基础英语类课程，而逐级修读更利于能力发展的高级英语类课程（高级英语（一）、高级英语（二）），直至完成 8 学分的必修课程学习。</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两年正常修读期内未达到 4 学分制修读条件也未通过全国大学英语四级考试的学生，只可以修读基础英语类课程，直至完成 8 学分的必修课程学习。</w:t>
      </w:r>
    </w:p>
    <w:p>
      <w:pPr>
        <w:widowControl/>
        <w:spacing w:before="120" w:beforeLines="50" w:after="120" w:afterLines="50" w:line="288" w:lineRule="auto"/>
        <w:ind w:firstLine="480" w:firstLineChars="200"/>
        <w:rPr>
          <w:rFonts w:ascii="Times New Roman" w:hAnsi="Times New Roman" w:cs="宋体"/>
          <w:kern w:val="0"/>
          <w:sz w:val="24"/>
        </w:rPr>
      </w:pPr>
      <w:r>
        <w:rPr>
          <w:rFonts w:hint="eastAsia" w:ascii="Times New Roman" w:hAnsi="Times New Roman" w:cs="宋体"/>
          <w:kern w:val="0"/>
          <w:sz w:val="24"/>
        </w:rPr>
        <w:t>本专业毕业学分数最低为 150，可以超出。</w:t>
      </w:r>
    </w:p>
    <w:p>
      <w:pPr>
        <w:widowControl/>
        <w:spacing w:before="240" w:after="240" w:line="288" w:lineRule="auto"/>
        <w:rPr>
          <w:rFonts w:ascii="黑体" w:hAnsi="黑体" w:eastAsia="黑体" w:cs="宋体"/>
          <w:b/>
          <w:kern w:val="0"/>
          <w:sz w:val="24"/>
        </w:rPr>
      </w:pPr>
      <w:r>
        <w:rPr>
          <w:rFonts w:hint="eastAsia" w:ascii="黑体" w:hAnsi="黑体" w:eastAsia="黑体" w:cs="宋体"/>
          <w:b/>
          <w:kern w:val="0"/>
          <w:sz w:val="24"/>
        </w:rPr>
        <w:t>九、课程设置及学分分布</w:t>
      </w:r>
    </w:p>
    <w:p>
      <w:pPr>
        <w:widowControl/>
        <w:spacing w:line="360" w:lineRule="auto"/>
        <w:rPr>
          <w:rFonts w:ascii="Times New Roman" w:hAnsi="Times New Roman" w:cs="宋体"/>
          <w:b/>
          <w:kern w:val="0"/>
          <w:sz w:val="24"/>
        </w:rPr>
      </w:pPr>
      <w:r>
        <w:rPr>
          <w:rFonts w:hint="eastAsia" w:ascii="Times New Roman" w:hAnsi="Times New Roman" w:cs="宋体"/>
          <w:b/>
          <w:kern w:val="0"/>
          <w:sz w:val="24"/>
        </w:rPr>
        <w:t>课程设置明细表</w:t>
      </w:r>
    </w:p>
    <w:p>
      <w:pPr>
        <w:widowControl/>
        <w:spacing w:line="360" w:lineRule="auto"/>
        <w:jc w:val="left"/>
        <w:rPr>
          <w:rFonts w:ascii="Times New Roman" w:hAnsi="Times New Roman"/>
          <w:b/>
          <w:kern w:val="0"/>
          <w:sz w:val="24"/>
        </w:rPr>
      </w:pPr>
      <w:r>
        <w:rPr>
          <w:rFonts w:hint="eastAsia" w:ascii="Times New Roman" w:hAnsi="Times New Roman" w:cs="宋体"/>
          <w:b/>
          <w:kern w:val="0"/>
          <w:sz w:val="24"/>
        </w:rPr>
        <w:t>1</w:t>
      </w:r>
      <w:r>
        <w:rPr>
          <w:rFonts w:ascii="Times New Roman" w:hAnsi="Times New Roman" w:cs="宋体"/>
          <w:b/>
          <w:kern w:val="0"/>
          <w:sz w:val="24"/>
        </w:rPr>
        <w:t>.</w:t>
      </w:r>
      <w:r>
        <w:rPr>
          <w:rFonts w:hint="eastAsia" w:ascii="Times New Roman" w:hAnsi="Times New Roman" w:cs="宋体"/>
          <w:b/>
          <w:kern w:val="0"/>
          <w:sz w:val="24"/>
        </w:rPr>
        <w:t>通识教育课程（共35学分，其中通识必修27学分+通识选修8学分）</w:t>
      </w:r>
    </w:p>
    <w:tbl>
      <w:tblPr>
        <w:tblStyle w:val="9"/>
        <w:tblW w:w="50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2217"/>
        <w:gridCol w:w="888"/>
        <w:gridCol w:w="1034"/>
        <w:gridCol w:w="740"/>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kern w:val="0"/>
                <w:szCs w:val="21"/>
              </w:rPr>
            </w:pPr>
            <w:r>
              <w:rPr>
                <w:rFonts w:hint="eastAsia" w:ascii="宋体" w:hAnsi="宋体"/>
                <w:b/>
                <w:kern w:val="0"/>
                <w:szCs w:val="21"/>
              </w:rPr>
              <w:t>课程代码</w:t>
            </w:r>
          </w:p>
        </w:tc>
        <w:tc>
          <w:tcPr>
            <w:tcW w:w="1151"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kern w:val="0"/>
                <w:szCs w:val="21"/>
              </w:rPr>
            </w:pPr>
            <w:r>
              <w:rPr>
                <w:rFonts w:hint="eastAsia" w:ascii="宋体" w:hAnsi="宋体"/>
                <w:b/>
                <w:kern w:val="0"/>
                <w:szCs w:val="21"/>
              </w:rPr>
              <w:t>课程名称</w:t>
            </w:r>
          </w:p>
        </w:tc>
        <w:tc>
          <w:tcPr>
            <w:tcW w:w="461"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kern w:val="0"/>
                <w:szCs w:val="21"/>
              </w:rPr>
            </w:pPr>
            <w:r>
              <w:rPr>
                <w:rFonts w:hint="eastAsia" w:ascii="宋体" w:hAnsi="宋体"/>
                <w:b/>
                <w:kern w:val="0"/>
                <w:szCs w:val="21"/>
              </w:rPr>
              <w:t>学分</w:t>
            </w:r>
          </w:p>
        </w:tc>
        <w:tc>
          <w:tcPr>
            <w:tcW w:w="536"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kern w:val="0"/>
                <w:szCs w:val="21"/>
              </w:rPr>
            </w:pPr>
            <w:r>
              <w:rPr>
                <w:rFonts w:hint="eastAsia" w:ascii="宋体" w:hAnsi="宋体"/>
                <w:b/>
                <w:kern w:val="0"/>
                <w:szCs w:val="21"/>
              </w:rPr>
              <w:t>周学时</w:t>
            </w:r>
          </w:p>
        </w:tc>
        <w:tc>
          <w:tcPr>
            <w:tcW w:w="384"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kern w:val="0"/>
                <w:szCs w:val="21"/>
              </w:rPr>
            </w:pPr>
            <w:r>
              <w:rPr>
                <w:rFonts w:hint="eastAsia" w:ascii="宋体" w:hAnsi="宋体"/>
                <w:b/>
                <w:kern w:val="0"/>
                <w:szCs w:val="21"/>
              </w:rPr>
              <w:t>学期</w:t>
            </w:r>
          </w:p>
        </w:tc>
        <w:tc>
          <w:tcPr>
            <w:tcW w:w="177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kern w:val="0"/>
                <w:szCs w:val="21"/>
              </w:rPr>
            </w:pPr>
            <w:r>
              <w:rPr>
                <w:rFonts w:hint="eastAsia" w:ascii="宋体" w:hAnsi="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687" w:type="pct"/>
            <w:tcBorders>
              <w:top w:val="single" w:color="auto" w:sz="4" w:space="0"/>
              <w:left w:val="single" w:color="auto" w:sz="4" w:space="0"/>
              <w:bottom w:val="single" w:color="auto" w:sz="4" w:space="0"/>
              <w:right w:val="single" w:color="auto" w:sz="4" w:space="0"/>
            </w:tcBorders>
            <w:vAlign w:val="center"/>
          </w:tcPr>
          <w:p>
            <w:pPr>
              <w:pStyle w:val="59"/>
              <w:jc w:val="both"/>
              <w:rPr>
                <w:rFonts w:ascii="宋体" w:hAnsi="宋体" w:eastAsia="宋体" w:cs="Times New Roman"/>
                <w:color w:val="auto"/>
                <w:sz w:val="21"/>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hint="eastAsia" w:ascii="宋体" w:hAnsi="宋体"/>
                <w:color w:val="000000" w:themeColor="text1"/>
                <w:kern w:val="0"/>
                <w:szCs w:val="21"/>
                <w:lang w:val="en-US" w:eastAsia="zh-CN"/>
                <w14:textFill>
                  <w14:solidFill>
                    <w14:schemeClr w14:val="tx1"/>
                  </w14:solidFill>
                </w14:textFill>
              </w:rPr>
              <w:t>思想道德与法治</w:t>
            </w:r>
          </w:p>
        </w:tc>
        <w:tc>
          <w:tcPr>
            <w:tcW w:w="461" w:type="pct"/>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2.0</w:t>
            </w:r>
          </w:p>
        </w:tc>
        <w:tc>
          <w:tcPr>
            <w:tcW w:w="536" w:type="pct"/>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2</w:t>
            </w:r>
          </w:p>
        </w:tc>
        <w:tc>
          <w:tcPr>
            <w:tcW w:w="384" w:type="pct"/>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1778" w:type="pct"/>
            <w:vAlign w:val="center"/>
          </w:tcPr>
          <w:p>
            <w:pPr>
              <w:rPr>
                <w:rFonts w:ascii="宋体" w:hAnsi="宋体"/>
                <w:color w:val="0070C0"/>
                <w:kern w:val="0"/>
                <w:szCs w:val="21"/>
              </w:rPr>
            </w:pPr>
            <w:r>
              <w:rPr>
                <w:rFonts w:hint="eastAsia" w:ascii="宋体" w:hAnsi="宋体"/>
                <w:color w:val="000000" w:themeColor="text1"/>
                <w:kern w:val="0"/>
                <w:szCs w:val="21"/>
                <w:lang w:val="en-US" w:eastAsia="zh-CN"/>
                <w14:textFill>
                  <w14:solidFill>
                    <w14:schemeClr w14:val="tx1"/>
                  </w14:solidFill>
                </w14:textFill>
              </w:rPr>
              <w:t>32</w:t>
            </w:r>
            <w:r>
              <w:rPr>
                <w:rFonts w:hint="eastAsia" w:ascii="宋体" w:hAnsi="宋体"/>
                <w:color w:val="000000" w:themeColor="text1"/>
                <w:kern w:val="0"/>
                <w:szCs w:val="21"/>
                <w14:textFill>
                  <w14:solidFill>
                    <w14:schemeClr w14:val="tx1"/>
                  </w14:solidFill>
                </w14:textFill>
              </w:rPr>
              <w:t>学时（理论课</w:t>
            </w:r>
            <w:r>
              <w:rPr>
                <w:rFonts w:hint="eastAsia" w:ascii="宋体" w:hAnsi="宋体"/>
                <w:color w:val="000000" w:themeColor="text1"/>
                <w:kern w:val="0"/>
                <w:szCs w:val="21"/>
                <w:lang w:val="en-US" w:eastAsia="zh-CN"/>
                <w14:textFill>
                  <w14:solidFill>
                    <w14:schemeClr w14:val="tx1"/>
                  </w14:solidFill>
                </w14:textFill>
              </w:rPr>
              <w:t>32</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ascii="宋体" w:hAnsi="宋体"/>
                <w:color w:val="000000" w:themeColor="text1"/>
                <w:kern w:val="0"/>
                <w:szCs w:val="21"/>
                <w14:textFill>
                  <w14:solidFill>
                    <w14:schemeClr w14:val="tx1"/>
                  </w14:solidFill>
                </w14:textFill>
              </w:rPr>
              <w:t>中国近现代史</w:t>
            </w:r>
            <w:r>
              <w:rPr>
                <w:rFonts w:hint="eastAsia" w:ascii="宋体" w:hAnsi="宋体"/>
                <w:color w:val="000000" w:themeColor="text1"/>
                <w:kern w:val="0"/>
                <w:szCs w:val="21"/>
                <w14:textFill>
                  <w14:solidFill>
                    <w14:schemeClr w14:val="tx1"/>
                  </w14:solidFill>
                </w14:textFill>
              </w:rPr>
              <w:t>纲要</w:t>
            </w: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3.0</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3</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1</w:t>
            </w:r>
          </w:p>
        </w:tc>
        <w:tc>
          <w:tcPr>
            <w:tcW w:w="17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70C0"/>
                <w:kern w:val="0"/>
                <w:szCs w:val="21"/>
              </w:rPr>
            </w:pPr>
            <w:r>
              <w:rPr>
                <w:rFonts w:hint="eastAsia" w:ascii="宋体" w:hAnsi="宋体"/>
                <w:color w:val="000000" w:themeColor="text1"/>
                <w:kern w:val="0"/>
                <w:szCs w:val="21"/>
                <w:lang w:val="en-US" w:eastAsia="zh-CN"/>
                <w14:textFill>
                  <w14:solidFill>
                    <w14:schemeClr w14:val="tx1"/>
                  </w14:solidFill>
                </w14:textFill>
              </w:rPr>
              <w:t>48</w:t>
            </w:r>
            <w:r>
              <w:rPr>
                <w:rFonts w:hint="eastAsia" w:ascii="宋体" w:hAnsi="宋体"/>
                <w:color w:val="000000" w:themeColor="text1"/>
                <w:kern w:val="0"/>
                <w:szCs w:val="21"/>
                <w14:textFill>
                  <w14:solidFill>
                    <w14:schemeClr w14:val="tx1"/>
                  </w14:solidFill>
                </w14:textFill>
              </w:rPr>
              <w:t>学时（理论课</w:t>
            </w:r>
            <w:r>
              <w:rPr>
                <w:rFonts w:hint="eastAsia" w:ascii="宋体" w:hAnsi="宋体"/>
                <w:color w:val="000000" w:themeColor="text1"/>
                <w:kern w:val="0"/>
                <w:szCs w:val="21"/>
                <w:lang w:val="en-US" w:eastAsia="zh-CN"/>
                <w14:textFill>
                  <w14:solidFill>
                    <w14:schemeClr w14:val="tx1"/>
                  </w14:solidFill>
                </w14:textFill>
              </w:rPr>
              <w:t>48</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ascii="宋体" w:hAnsi="宋体"/>
                <w:color w:val="000000" w:themeColor="text1"/>
                <w:kern w:val="0"/>
                <w:szCs w:val="21"/>
                <w14:textFill>
                  <w14:solidFill>
                    <w14:schemeClr w14:val="tx1"/>
                  </w14:solidFill>
                </w14:textFill>
              </w:rPr>
              <w:t>毛泽东思想和中国特色社会主义理论体系概论</w:t>
            </w:r>
          </w:p>
        </w:tc>
        <w:tc>
          <w:tcPr>
            <w:tcW w:w="461" w:type="pct"/>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3.0</w:t>
            </w:r>
          </w:p>
        </w:tc>
        <w:tc>
          <w:tcPr>
            <w:tcW w:w="536" w:type="pct"/>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3</w:t>
            </w:r>
          </w:p>
        </w:tc>
        <w:tc>
          <w:tcPr>
            <w:tcW w:w="384" w:type="pct"/>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4</w:t>
            </w:r>
          </w:p>
        </w:tc>
        <w:tc>
          <w:tcPr>
            <w:tcW w:w="1778" w:type="pct"/>
            <w:vAlign w:val="center"/>
          </w:tcPr>
          <w:p>
            <w:pPr>
              <w:rPr>
                <w:rFonts w:ascii="宋体" w:hAnsi="宋体"/>
                <w:color w:val="0070C0"/>
                <w:kern w:val="0"/>
                <w:szCs w:val="21"/>
              </w:rPr>
            </w:pPr>
            <w:r>
              <w:rPr>
                <w:rFonts w:hint="eastAsia" w:ascii="宋体" w:hAnsi="宋体"/>
                <w:color w:val="000000" w:themeColor="text1"/>
                <w:kern w:val="0"/>
                <w:szCs w:val="21"/>
                <w:lang w:val="en-US" w:eastAsia="zh-CN"/>
                <w14:textFill>
                  <w14:solidFill>
                    <w14:schemeClr w14:val="tx1"/>
                  </w14:solidFill>
                </w14:textFill>
              </w:rPr>
              <w:t>48</w:t>
            </w:r>
            <w:r>
              <w:rPr>
                <w:rFonts w:hint="eastAsia" w:ascii="宋体" w:hAnsi="宋体"/>
                <w:color w:val="000000" w:themeColor="text1"/>
                <w:kern w:val="0"/>
                <w:szCs w:val="21"/>
                <w14:textFill>
                  <w14:solidFill>
                    <w14:schemeClr w14:val="tx1"/>
                  </w14:solidFill>
                </w14:textFill>
              </w:rPr>
              <w:t>学时（理论课</w:t>
            </w:r>
            <w:r>
              <w:rPr>
                <w:rFonts w:hint="eastAsia" w:ascii="宋体" w:hAnsi="宋体"/>
                <w:color w:val="000000" w:themeColor="text1"/>
                <w:kern w:val="0"/>
                <w:szCs w:val="21"/>
                <w:lang w:val="en-US" w:eastAsia="zh-CN"/>
                <w14:textFill>
                  <w14:solidFill>
                    <w14:schemeClr w14:val="tx1"/>
                  </w14:solidFill>
                </w14:textFill>
              </w:rPr>
              <w:t>48</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ascii="宋体" w:hAnsi="宋体"/>
                <w:color w:val="000000" w:themeColor="text1"/>
                <w:kern w:val="0"/>
                <w:szCs w:val="21"/>
                <w14:textFill>
                  <w14:solidFill>
                    <w14:schemeClr w14:val="tx1"/>
                  </w14:solidFill>
                </w14:textFill>
              </w:rPr>
              <w:t>马克思主义基本原理</w:t>
            </w:r>
          </w:p>
        </w:tc>
        <w:tc>
          <w:tcPr>
            <w:tcW w:w="461" w:type="pct"/>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3.0</w:t>
            </w:r>
          </w:p>
        </w:tc>
        <w:tc>
          <w:tcPr>
            <w:tcW w:w="536" w:type="pct"/>
            <w:vAlign w:val="center"/>
          </w:tcPr>
          <w:p>
            <w:pPr>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3</w:t>
            </w:r>
          </w:p>
        </w:tc>
        <w:tc>
          <w:tcPr>
            <w:tcW w:w="384" w:type="pct"/>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3</w:t>
            </w:r>
          </w:p>
        </w:tc>
        <w:tc>
          <w:tcPr>
            <w:tcW w:w="1778" w:type="pct"/>
            <w:vAlign w:val="center"/>
          </w:tcPr>
          <w:p>
            <w:pPr>
              <w:rPr>
                <w:rFonts w:ascii="宋体" w:hAnsi="宋体"/>
                <w:color w:val="0070C0"/>
                <w:kern w:val="0"/>
                <w:szCs w:val="21"/>
              </w:rPr>
            </w:pPr>
            <w:r>
              <w:rPr>
                <w:rFonts w:hint="eastAsia" w:ascii="宋体" w:hAnsi="宋体"/>
                <w:color w:val="000000" w:themeColor="text1"/>
                <w:kern w:val="0"/>
                <w:szCs w:val="21"/>
                <w:lang w:val="en-US" w:eastAsia="zh-CN"/>
                <w14:textFill>
                  <w14:solidFill>
                    <w14:schemeClr w14:val="tx1"/>
                  </w14:solidFill>
                </w14:textFill>
              </w:rPr>
              <w:t>48</w:t>
            </w:r>
            <w:r>
              <w:rPr>
                <w:rFonts w:hint="eastAsia" w:ascii="宋体" w:hAnsi="宋体"/>
                <w:color w:val="000000" w:themeColor="text1"/>
                <w:kern w:val="0"/>
                <w:szCs w:val="21"/>
                <w14:textFill>
                  <w14:solidFill>
                    <w14:schemeClr w14:val="tx1"/>
                  </w14:solidFill>
                </w14:textFill>
              </w:rPr>
              <w:t>学时（理论课</w:t>
            </w:r>
            <w:r>
              <w:rPr>
                <w:rFonts w:hint="eastAsia" w:ascii="宋体" w:hAnsi="宋体"/>
                <w:color w:val="000000" w:themeColor="text1"/>
                <w:kern w:val="0"/>
                <w:szCs w:val="21"/>
                <w:lang w:val="en-US" w:eastAsia="zh-CN"/>
                <w14:textFill>
                  <w14:solidFill>
                    <w14:schemeClr w14:val="tx1"/>
                  </w14:solidFill>
                </w14:textFill>
              </w:rPr>
              <w:t>48</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ascii="宋体" w:hAnsi="宋体"/>
                <w:color w:val="000000" w:themeColor="text1"/>
                <w:kern w:val="0"/>
                <w:szCs w:val="21"/>
                <w14:textFill>
                  <w14:solidFill>
                    <w14:schemeClr w14:val="tx1"/>
                  </w14:solidFill>
                </w14:textFill>
              </w:rPr>
              <w:t>马克思主义</w:t>
            </w:r>
            <w:r>
              <w:rPr>
                <w:rFonts w:hint="eastAsia" w:ascii="宋体" w:hAnsi="宋体"/>
                <w:color w:val="000000" w:themeColor="text1"/>
                <w:kern w:val="0"/>
                <w:szCs w:val="21"/>
                <w14:textFill>
                  <w14:solidFill>
                    <w14:schemeClr w14:val="tx1"/>
                  </w14:solidFill>
                </w14:textFill>
              </w:rPr>
              <w:t>理论</w:t>
            </w:r>
            <w:r>
              <w:rPr>
                <w:rFonts w:ascii="宋体" w:hAnsi="宋体"/>
                <w:color w:val="000000" w:themeColor="text1"/>
                <w:kern w:val="0"/>
                <w:szCs w:val="21"/>
                <w14:textFill>
                  <w14:solidFill>
                    <w14:schemeClr w14:val="tx1"/>
                  </w14:solidFill>
                </w14:textFill>
              </w:rPr>
              <w:t>与实践</w:t>
            </w:r>
          </w:p>
        </w:tc>
        <w:tc>
          <w:tcPr>
            <w:tcW w:w="461" w:type="pct"/>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r>
              <w:rPr>
                <w:rFonts w:hint="eastAsia" w:ascii="宋体" w:hAnsi="宋体" w:eastAsia="宋体" w:cs="宋体"/>
                <w:color w:val="000000" w:themeColor="text1"/>
                <w:kern w:val="0"/>
                <w:sz w:val="21"/>
                <w:szCs w:val="21"/>
                <w:lang w:val="en-US" w:eastAsia="zh-CN"/>
                <w14:textFill>
                  <w14:solidFill>
                    <w14:schemeClr w14:val="tx1"/>
                  </w14:solidFill>
                </w14:textFill>
              </w:rPr>
              <w:t>.0</w:t>
            </w:r>
          </w:p>
        </w:tc>
        <w:tc>
          <w:tcPr>
            <w:tcW w:w="536" w:type="pct"/>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384" w:type="pct"/>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4</w:t>
            </w:r>
          </w:p>
        </w:tc>
        <w:tc>
          <w:tcPr>
            <w:tcW w:w="1778" w:type="pct"/>
            <w:vAlign w:val="center"/>
          </w:tcPr>
          <w:p>
            <w:pPr>
              <w:snapToGrid w:val="0"/>
              <w:spacing w:line="360" w:lineRule="exact"/>
              <w:rPr>
                <w:rFonts w:ascii="宋体" w:hAnsi="宋体"/>
                <w:color w:val="0070C0"/>
                <w:kern w:val="0"/>
                <w:szCs w:val="21"/>
              </w:rPr>
            </w:pPr>
            <w:r>
              <w:rPr>
                <w:rFonts w:hint="eastAsia" w:ascii="宋体" w:hAnsi="宋体"/>
                <w:color w:val="000000" w:themeColor="text1"/>
                <w:kern w:val="0"/>
                <w:szCs w:val="21"/>
                <w:lang w:val="en-US" w:eastAsia="zh-CN"/>
                <w14:textFill>
                  <w14:solidFill>
                    <w14:schemeClr w14:val="tx1"/>
                  </w14:solidFill>
                </w14:textFill>
              </w:rPr>
              <w:t>32</w:t>
            </w:r>
            <w:r>
              <w:rPr>
                <w:rFonts w:ascii="宋体" w:hAnsi="宋体"/>
                <w:color w:val="000000" w:themeColor="text1"/>
                <w:kern w:val="0"/>
                <w:szCs w:val="21"/>
                <w14:textFill>
                  <w14:solidFill>
                    <w14:schemeClr w14:val="tx1"/>
                  </w14:solidFill>
                </w14:textFill>
              </w:rPr>
              <w:t>学时，其中理论课2学时，课外实践</w:t>
            </w:r>
            <w:r>
              <w:rPr>
                <w:rFonts w:hint="eastAsia" w:ascii="宋体" w:hAnsi="宋体"/>
                <w:color w:val="000000" w:themeColor="text1"/>
                <w:kern w:val="0"/>
                <w:szCs w:val="21"/>
                <w:lang w:val="en-US" w:eastAsia="zh-CN"/>
                <w14:textFill>
                  <w14:solidFill>
                    <w14:schemeClr w14:val="tx1"/>
                  </w14:solidFill>
                </w14:textFill>
              </w:rPr>
              <w:t>30</w:t>
            </w:r>
            <w:r>
              <w:rPr>
                <w:rFonts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eastAsia="宋体" w:cs="宋体"/>
                <w:color w:val="auto"/>
                <w:kern w:val="0"/>
                <w:sz w:val="21"/>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习近平新时代中国特色社会主义思想概论</w:t>
            </w:r>
          </w:p>
        </w:tc>
        <w:tc>
          <w:tcPr>
            <w:tcW w:w="46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1.0 </w:t>
            </w:r>
          </w:p>
        </w:tc>
        <w:tc>
          <w:tcPr>
            <w:tcW w:w="53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1.0 </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4</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6学时（理论课32学时）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ascii="宋体" w:hAnsi="宋体"/>
                <w:color w:val="000000" w:themeColor="text1"/>
                <w:kern w:val="0"/>
                <w:szCs w:val="21"/>
                <w14:textFill>
                  <w14:solidFill>
                    <w14:schemeClr w14:val="tx1"/>
                  </w14:solidFill>
                </w14:textFill>
              </w:rPr>
              <w:t>形势与政策</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8</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64</w:t>
            </w:r>
            <w:r>
              <w:rPr>
                <w:rFonts w:ascii="宋体" w:hAnsi="宋体"/>
                <w:color w:val="000000" w:themeColor="text1"/>
                <w:kern w:val="0"/>
                <w:szCs w:val="21"/>
                <w14:textFill>
                  <w14:solidFill>
                    <w14:schemeClr w14:val="tx1"/>
                  </w14:solidFill>
                </w14:textFill>
              </w:rPr>
              <w:t>学时（理论课</w:t>
            </w:r>
            <w:r>
              <w:rPr>
                <w:rFonts w:hint="eastAsia" w:ascii="宋体" w:hAnsi="宋体"/>
                <w:color w:val="000000" w:themeColor="text1"/>
                <w:kern w:val="0"/>
                <w:szCs w:val="21"/>
                <w:lang w:val="en-US" w:eastAsia="zh-CN"/>
                <w14:textFill>
                  <w14:solidFill>
                    <w14:schemeClr w14:val="tx1"/>
                  </w14:solidFill>
                </w14:textFill>
              </w:rPr>
              <w:t>64</w:t>
            </w:r>
            <w:r>
              <w:rPr>
                <w:rFonts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22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kern w:val="0"/>
                <w:sz w:val="21"/>
                <w:szCs w:val="21"/>
                <w:lang w:eastAsia="zh-CN"/>
              </w:rPr>
            </w:pPr>
            <w:r>
              <w:rPr>
                <w:rFonts w:hint="eastAsia" w:ascii="宋体" w:hAnsi="宋体"/>
                <w:color w:val="000000" w:themeColor="text1"/>
                <w:kern w:val="0"/>
                <w:szCs w:val="21"/>
                <w14:textFill>
                  <w14:solidFill>
                    <w14:schemeClr w14:val="tx1"/>
                  </w14:solidFill>
                </w14:textFill>
              </w:rPr>
              <w:t>心理素质与生涯发展（上）</w:t>
            </w:r>
          </w:p>
        </w:tc>
        <w:tc>
          <w:tcPr>
            <w:tcW w:w="8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0.5</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0.5</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1</w:t>
            </w:r>
          </w:p>
        </w:tc>
        <w:tc>
          <w:tcPr>
            <w:tcW w:w="342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70C0"/>
                <w:kern w:val="0"/>
                <w:szCs w:val="21"/>
              </w:rPr>
            </w:pPr>
            <w:r>
              <w:rPr>
                <w:rFonts w:hint="eastAsia" w:ascii="宋体" w:hAnsi="宋体"/>
                <w:color w:val="000000" w:themeColor="text1"/>
                <w:kern w:val="0"/>
                <w:szCs w:val="21"/>
                <w14:textFill>
                  <w14:solidFill>
                    <w14:schemeClr w14:val="tx1"/>
                  </w14:solidFill>
                </w14:textFill>
              </w:rPr>
              <w:t>《大学生心理健康教育》与《大学生就业与创业指导》2门课程构成，总计</w:t>
            </w:r>
            <w:r>
              <w:rPr>
                <w:rFonts w:hint="eastAsia" w:ascii="宋体" w:hAnsi="宋体"/>
                <w:color w:val="000000" w:themeColor="text1"/>
                <w:kern w:val="0"/>
                <w:szCs w:val="21"/>
                <w:lang w:val="en-US" w:eastAsia="zh-CN"/>
                <w14:textFill>
                  <w14:solidFill>
                    <w14:schemeClr w14:val="tx1"/>
                  </w14:solidFill>
                </w14:textFill>
              </w:rPr>
              <w:t>38</w:t>
            </w:r>
            <w:r>
              <w:rPr>
                <w:rFonts w:hint="eastAsia" w:ascii="宋体" w:hAnsi="宋体"/>
                <w:color w:val="000000" w:themeColor="text1"/>
                <w:kern w:val="0"/>
                <w:szCs w:val="21"/>
                <w14:textFill>
                  <w14:solidFill>
                    <w14:schemeClr w14:val="tx1"/>
                  </w14:solidFill>
                </w14:textFill>
              </w:rPr>
              <w:t>学时，其中课堂教学</w:t>
            </w:r>
            <w:r>
              <w:rPr>
                <w:rFonts w:hint="eastAsia" w:ascii="宋体" w:hAnsi="宋体"/>
                <w:color w:val="000000" w:themeColor="text1"/>
                <w:kern w:val="0"/>
                <w:szCs w:val="21"/>
                <w:lang w:val="en-US" w:eastAsia="zh-CN"/>
                <w14:textFill>
                  <w14:solidFill>
                    <w14:schemeClr w14:val="tx1"/>
                  </w14:solidFill>
                </w14:textFill>
              </w:rPr>
              <w:t>38</w:t>
            </w:r>
            <w:r>
              <w:rPr>
                <w:rFonts w:hint="eastAsia" w:ascii="宋体" w:hAnsi="宋体"/>
                <w:color w:val="000000" w:themeColor="text1"/>
                <w:kern w:val="0"/>
                <w:szCs w:val="21"/>
                <w14:textFill>
                  <w14:solidFill>
                    <w14:schemeClr w14:val="tx1"/>
                  </w14:solidFill>
                </w14:textFill>
              </w:rPr>
              <w:t>学时，网络教学</w:t>
            </w:r>
            <w:r>
              <w:rPr>
                <w:rFonts w:hint="eastAsia" w:ascii="宋体" w:hAnsi="宋体"/>
                <w:color w:val="000000" w:themeColor="text1"/>
                <w:kern w:val="0"/>
                <w:szCs w:val="21"/>
                <w:lang w:val="en-US" w:eastAsia="zh-CN"/>
                <w14:textFill>
                  <w14:solidFill>
                    <w14:schemeClr w14:val="tx1"/>
                  </w14:solidFill>
                </w14:textFill>
              </w:rPr>
              <w:t>38</w:t>
            </w:r>
            <w:r>
              <w:rPr>
                <w:rFonts w:hint="eastAsia" w:ascii="宋体" w:hAnsi="宋体"/>
                <w:color w:val="000000" w:themeColor="text1"/>
                <w:kern w:val="0"/>
                <w:szCs w:val="21"/>
                <w14:textFill>
                  <w14:solidFill>
                    <w14:schemeClr w14:val="tx1"/>
                  </w14:solidFill>
                </w14:textFill>
              </w:rPr>
              <w:t>学时，教学实践</w:t>
            </w:r>
            <w:r>
              <w:rPr>
                <w:rFonts w:hint="eastAsia" w:ascii="宋体" w:hAnsi="宋体"/>
                <w:color w:val="000000" w:themeColor="text1"/>
                <w:kern w:val="0"/>
                <w:szCs w:val="21"/>
                <w:lang w:val="en-US" w:eastAsia="zh-CN"/>
                <w14:textFill>
                  <w14:solidFill>
                    <w14:schemeClr w14:val="tx1"/>
                  </w14:solidFill>
                </w14:textFill>
              </w:rPr>
              <w:t>38</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exac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22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hint="eastAsia" w:ascii="宋体" w:hAnsi="宋体"/>
                <w:color w:val="000000" w:themeColor="text1"/>
                <w:kern w:val="0"/>
                <w:szCs w:val="21"/>
                <w14:textFill>
                  <w14:solidFill>
                    <w14:schemeClr w14:val="tx1"/>
                  </w14:solidFill>
                </w14:textFill>
              </w:rPr>
              <w:t>心理素质与生涯发展（</w:t>
            </w:r>
            <w:r>
              <w:rPr>
                <w:rFonts w:hint="eastAsia" w:ascii="宋体" w:hAnsi="宋体"/>
                <w:color w:val="000000" w:themeColor="text1"/>
                <w:kern w:val="0"/>
                <w:szCs w:val="21"/>
                <w:lang w:val="en-US" w:eastAsia="zh-CN"/>
                <w14:textFill>
                  <w14:solidFill>
                    <w14:schemeClr w14:val="tx1"/>
                  </w14:solidFill>
                </w14:textFill>
              </w:rPr>
              <w:t>下</w:t>
            </w:r>
            <w:r>
              <w:rPr>
                <w:rFonts w:hint="eastAsia" w:ascii="宋体" w:hAnsi="宋体"/>
                <w:color w:val="000000" w:themeColor="text1"/>
                <w:kern w:val="0"/>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0.5</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0.5</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5</w:t>
            </w:r>
          </w:p>
        </w:tc>
        <w:tc>
          <w:tcPr>
            <w:tcW w:w="342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70C0"/>
                <w:kern w:val="0"/>
                <w:szCs w:val="21"/>
              </w:rPr>
            </w:pPr>
            <w:r>
              <w:rPr>
                <w:rFonts w:hint="eastAsia" w:ascii="宋体" w:hAnsi="宋体"/>
                <w:color w:val="000000" w:themeColor="text1"/>
                <w:kern w:val="0"/>
                <w:szCs w:val="21"/>
                <w14:textFill>
                  <w14:solidFill>
                    <w14:schemeClr w14:val="tx1"/>
                  </w14:solidFill>
                </w14:textFill>
              </w:rPr>
              <w:t>《大学生心理健康教育》与《大学生就业与创业指导》2门课程构成，总计32学时，其中课堂教学</w:t>
            </w:r>
            <w:r>
              <w:rPr>
                <w:rFonts w:hint="eastAsia" w:ascii="宋体" w:hAnsi="宋体"/>
                <w:color w:val="000000" w:themeColor="text1"/>
                <w:kern w:val="0"/>
                <w:szCs w:val="21"/>
                <w:lang w:val="en-US" w:eastAsia="zh-CN"/>
                <w14:textFill>
                  <w14:solidFill>
                    <w14:schemeClr w14:val="tx1"/>
                  </w14:solidFill>
                </w14:textFill>
              </w:rPr>
              <w:t>24</w:t>
            </w:r>
            <w:r>
              <w:rPr>
                <w:rFonts w:hint="eastAsia" w:ascii="宋体" w:hAnsi="宋体"/>
                <w:color w:val="000000" w:themeColor="text1"/>
                <w:kern w:val="0"/>
                <w:szCs w:val="21"/>
                <w14:textFill>
                  <w14:solidFill>
                    <w14:schemeClr w14:val="tx1"/>
                  </w14:solidFill>
                </w14:textFill>
              </w:rPr>
              <w:t>学时，教学实践8学时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22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大学计算机基础（程序设计）</w:t>
            </w:r>
          </w:p>
        </w:tc>
        <w:tc>
          <w:tcPr>
            <w:tcW w:w="8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342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70C0"/>
                <w:kern w:val="0"/>
                <w:szCs w:val="21"/>
              </w:rPr>
            </w:pPr>
            <w:r>
              <w:rPr>
                <w:rFonts w:hint="eastAsia" w:ascii="宋体" w:hAnsi="宋体"/>
                <w:color w:val="000000" w:themeColor="text1"/>
                <w:kern w:val="0"/>
                <w:szCs w:val="21"/>
                <w14:textFill>
                  <w14:solidFill>
                    <w14:schemeClr w14:val="tx1"/>
                  </w14:solidFill>
                </w14:textFill>
              </w:rPr>
              <w:t>包括能力测试（0学分）、计算概论（0.5学分）和拓展模块（理工类，1.5学分/32学时）</w:t>
            </w:r>
            <w:r>
              <w:rPr>
                <w:rFonts w:ascii="宋体" w:hAnsi="宋体"/>
                <w:color w:val="000000" w:themeColor="text1"/>
                <w:kern w:val="0"/>
                <w:szCs w:val="21"/>
                <w14:textFill>
                  <w14:solidFill>
                    <w14:schemeClr w14:val="tx1"/>
                  </w14:solidFill>
                </w14:textFill>
              </w:rPr>
              <w:t>。第1学期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22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ascii="宋体" w:hAnsi="宋体"/>
                <w:color w:val="000000" w:themeColor="text1"/>
                <w:kern w:val="0"/>
                <w:szCs w:val="21"/>
                <w14:textFill>
                  <w14:solidFill>
                    <w14:schemeClr w14:val="tx1"/>
                  </w14:solidFill>
                </w14:textFill>
              </w:rPr>
              <w:t>大学英语(一)</w:t>
            </w:r>
          </w:p>
        </w:tc>
        <w:tc>
          <w:tcPr>
            <w:tcW w:w="8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1</w:t>
            </w:r>
          </w:p>
        </w:tc>
        <w:tc>
          <w:tcPr>
            <w:tcW w:w="342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70C0"/>
                <w:kern w:val="0"/>
                <w:szCs w:val="21"/>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p>
        </w:tc>
        <w:tc>
          <w:tcPr>
            <w:tcW w:w="22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ascii="宋体" w:hAnsi="宋体"/>
                <w:color w:val="000000" w:themeColor="text1"/>
                <w:kern w:val="0"/>
                <w:szCs w:val="21"/>
                <w14:textFill>
                  <w14:solidFill>
                    <w14:schemeClr w14:val="tx1"/>
                  </w14:solidFill>
                </w14:textFill>
              </w:rPr>
              <w:t>大学英语(二)</w:t>
            </w:r>
          </w:p>
        </w:tc>
        <w:tc>
          <w:tcPr>
            <w:tcW w:w="8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2</w:t>
            </w:r>
          </w:p>
        </w:tc>
        <w:tc>
          <w:tcPr>
            <w:tcW w:w="342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70C0"/>
                <w:kern w:val="0"/>
                <w:szCs w:val="21"/>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22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 w:val="21"/>
                <w:szCs w:val="21"/>
              </w:rPr>
            </w:pPr>
            <w:r>
              <w:rPr>
                <w:rFonts w:hint="eastAsia" w:ascii="宋体" w:hAnsi="宋体"/>
                <w:color w:val="000000" w:themeColor="text1"/>
                <w:kern w:val="0"/>
                <w:szCs w:val="21"/>
                <w14:textFill>
                  <w14:solidFill>
                    <w14:schemeClr w14:val="tx1"/>
                  </w14:solidFill>
                </w14:textFill>
              </w:rPr>
              <w:t>体育</w:t>
            </w:r>
            <w:r>
              <w:rPr>
                <w:rFonts w:ascii="宋体" w:hAnsi="宋体"/>
                <w:color w:val="000000" w:themeColor="text1"/>
                <w:kern w:val="0"/>
                <w:szCs w:val="21"/>
                <w14:textFill>
                  <w14:solidFill>
                    <w14:schemeClr w14:val="tx1"/>
                  </w14:solidFill>
                </w14:textFill>
              </w:rPr>
              <w:t>(一)(二)(三)(四)</w:t>
            </w:r>
          </w:p>
        </w:tc>
        <w:tc>
          <w:tcPr>
            <w:tcW w:w="8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4</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4</w:t>
            </w:r>
          </w:p>
        </w:tc>
        <w:tc>
          <w:tcPr>
            <w:tcW w:w="7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color w:val="000000" w:themeColor="text1"/>
                <w:kern w:val="0"/>
                <w:sz w:val="21"/>
                <w:szCs w:val="21"/>
                <w14:textFill>
                  <w14:solidFill>
                    <w14:schemeClr w14:val="tx1"/>
                  </w14:solidFill>
                </w14:textFill>
              </w:rPr>
            </w:pPr>
          </w:p>
          <w:p>
            <w:pPr>
              <w:jc w:val="center"/>
              <w:rPr>
                <w:rFonts w:hint="eastAsia" w:ascii="宋体" w:hAnsi="宋体" w:eastAsia="宋体" w:cs="宋体"/>
                <w:color w:val="000000" w:themeColor="text1"/>
                <w:kern w:val="0"/>
                <w:sz w:val="21"/>
                <w:szCs w:val="21"/>
                <w14:textFill>
                  <w14:solidFill>
                    <w14:schemeClr w14:val="tx1"/>
                  </w14:solidFill>
                </w14:textFill>
              </w:rPr>
            </w:pPr>
          </w:p>
          <w:p>
            <w:pPr>
              <w:jc w:val="center"/>
              <w:rPr>
                <w:rFonts w:hint="eastAsia" w:ascii="宋体" w:hAnsi="宋体" w:eastAsia="宋体" w:cs="宋体"/>
                <w:color w:val="0070C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1-4</w:t>
            </w:r>
          </w:p>
        </w:tc>
        <w:tc>
          <w:tcPr>
            <w:tcW w:w="342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70C0"/>
                <w:kern w:val="0"/>
                <w:szCs w:val="21"/>
              </w:rPr>
            </w:pPr>
            <w:r>
              <w:rPr>
                <w:rFonts w:ascii="宋体" w:hAnsi="宋体"/>
                <w:color w:val="000000" w:themeColor="text1"/>
                <w:kern w:val="0"/>
                <w:szCs w:val="21"/>
                <w14:textFill>
                  <w14:solidFill>
                    <w14:schemeClr w14:val="tx1"/>
                  </w14:solidFill>
                </w14:textFill>
              </w:rPr>
              <w:t>每学期1学分（其中课内学时16学时，课外学时4学时），共计144学时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Cs w:val="21"/>
              </w:rPr>
            </w:pPr>
            <w:r>
              <w:rPr>
                <w:rFonts w:ascii="宋体" w:hAnsi="宋体"/>
                <w:kern w:val="0"/>
                <w:szCs w:val="21"/>
              </w:rPr>
              <w:t>通识教育选修课</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38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 w:val="21"/>
                <w:szCs w:val="21"/>
              </w:rPr>
            </w:pP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r>
              <w:rPr>
                <w:rFonts w:hint="eastAsia" w:ascii="宋体" w:hAnsi="宋体"/>
                <w:kern w:val="0"/>
                <w:szCs w:val="21"/>
              </w:rPr>
              <w:t>累计应修学分不少于8学分。人文艺术类课程不少于2学分。凡是以审美和人文素养培养为核心、以创新能力培养为重点、以中华优秀传统文化传承发展和艺术经典教育为主要内容的课程均属于公共艺术类课程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Cs w:val="21"/>
              </w:rPr>
            </w:pPr>
            <w:r>
              <w:rPr>
                <w:rFonts w:hint="eastAsia" w:ascii="宋体" w:hAnsi="宋体"/>
                <w:kern w:val="0"/>
                <w:szCs w:val="21"/>
              </w:rPr>
              <w:t>*创业基础</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r>
              <w:rPr>
                <w:rFonts w:hint="eastAsia" w:ascii="宋体" w:hAnsi="宋体"/>
                <w:kern w:val="0"/>
                <w:szCs w:val="21"/>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Cs w:val="21"/>
              </w:rPr>
            </w:pPr>
            <w:r>
              <w:rPr>
                <w:rFonts w:hint="eastAsia" w:ascii="宋体" w:hAnsi="宋体"/>
                <w:kern w:val="0"/>
                <w:szCs w:val="21"/>
              </w:rPr>
              <w:t>*中文写作实训</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r>
              <w:rPr>
                <w:rFonts w:hint="eastAsia" w:ascii="宋体" w:hAnsi="宋体"/>
                <w:kern w:val="0"/>
                <w:szCs w:val="21"/>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Cs w:val="21"/>
              </w:rPr>
            </w:pPr>
            <w:r>
              <w:rPr>
                <w:rFonts w:hint="eastAsia" w:ascii="宋体" w:hAnsi="宋体"/>
                <w:kern w:val="0"/>
                <w:szCs w:val="21"/>
              </w:rPr>
              <w:t>*逻辑与批判性思维</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r>
              <w:rPr>
                <w:rFonts w:hint="eastAsia" w:ascii="宋体" w:hAnsi="宋体"/>
                <w:kern w:val="0"/>
                <w:szCs w:val="21"/>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Cs w:val="21"/>
              </w:rPr>
            </w:pPr>
            <w:r>
              <w:rPr>
                <w:rFonts w:hint="eastAsia" w:ascii="宋体" w:hAnsi="宋体"/>
                <w:kern w:val="0"/>
                <w:szCs w:val="21"/>
              </w:rPr>
              <w:t>广西少数民族文化与现代发展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Cs w:val="21"/>
              </w:rPr>
            </w:pPr>
            <w:r>
              <w:rPr>
                <w:rFonts w:hint="eastAsia" w:ascii="宋体" w:hAnsi="宋体"/>
                <w:kern w:val="0"/>
                <w:szCs w:val="21"/>
              </w:rPr>
              <w:t>中国、东盟历史文化与社会发展</w:t>
            </w:r>
          </w:p>
          <w:p>
            <w:pPr>
              <w:snapToGrid w:val="0"/>
              <w:spacing w:line="360" w:lineRule="exact"/>
              <w:jc w:val="center"/>
              <w:rPr>
                <w:rFonts w:ascii="宋体" w:hAnsi="宋体"/>
                <w:kern w:val="0"/>
                <w:szCs w:val="21"/>
              </w:rPr>
            </w:pP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68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kern w:val="0"/>
                <w:szCs w:val="21"/>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kern w:val="0"/>
                <w:szCs w:val="21"/>
              </w:rPr>
            </w:pPr>
            <w:r>
              <w:rPr>
                <w:rFonts w:hint="eastAsia" w:ascii="宋体" w:hAnsi="宋体"/>
                <w:kern w:val="0"/>
                <w:szCs w:val="21"/>
              </w:rPr>
              <w:t>海洋知识与可持续发展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77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exact"/>
        </w:trPr>
        <w:tc>
          <w:tcPr>
            <w:tcW w:w="5000" w:type="pct"/>
            <w:gridSpan w:val="6"/>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宋体" w:hAnsi="宋体"/>
                <w:kern w:val="0"/>
                <w:szCs w:val="21"/>
              </w:rPr>
            </w:pPr>
            <w:r>
              <w:rPr>
                <w:rFonts w:hint="eastAsia" w:ascii="宋体" w:hAnsi="宋体"/>
                <w:kern w:val="0"/>
                <w:szCs w:val="21"/>
              </w:rPr>
              <w:t>注：关于通识选修课，</w:t>
            </w:r>
            <w:r>
              <w:rPr>
                <w:rFonts w:hint="eastAsia" w:ascii="Times New Roman" w:hAnsi="Times New Roman" w:cs="宋体"/>
                <w:color w:val="000000" w:themeColor="text1"/>
                <w:kern w:val="0"/>
                <w:szCs w:val="21"/>
                <w14:textFill>
                  <w14:solidFill>
                    <w14:schemeClr w14:val="tx1"/>
                  </w14:solidFill>
                </w14:textFill>
              </w:rPr>
              <w:t>每个学生至少应选 8 学分，其中修读人文艺术类课程不少于 2 学分。创新创业基础知识模块和领军人才素质教育模块各修2学分，海洋知识与可持续发展模块、经济类或管理类模块至少应修 1 门课程。《创业基础》《中文写作实训》《逻辑与批判性思维》为限选，广西少数民族文化与现代发展模块、中国东盟历史文化与社会发展模块为选修；纯网络课程修读不超过总修读课程的50%。</w:t>
            </w:r>
          </w:p>
        </w:tc>
      </w:tr>
    </w:tbl>
    <w:p>
      <w:pPr>
        <w:widowControl/>
        <w:spacing w:line="360" w:lineRule="auto"/>
        <w:rPr>
          <w:rFonts w:ascii="Times New Roman" w:hAnsi="Times New Roman" w:cs="宋体"/>
          <w:b/>
          <w:kern w:val="0"/>
          <w:sz w:val="24"/>
        </w:rPr>
      </w:pPr>
    </w:p>
    <w:p>
      <w:pPr>
        <w:widowControl/>
        <w:spacing w:line="360" w:lineRule="auto"/>
        <w:rPr>
          <w:rFonts w:ascii="Times New Roman" w:hAnsi="Times New Roman" w:cs="宋体"/>
          <w:b/>
          <w:kern w:val="0"/>
          <w:sz w:val="24"/>
        </w:rPr>
      </w:pPr>
      <w:r>
        <w:rPr>
          <w:rFonts w:hint="eastAsia" w:ascii="Times New Roman" w:hAnsi="Times New Roman" w:cs="宋体"/>
          <w:b/>
          <w:kern w:val="0"/>
          <w:sz w:val="24"/>
        </w:rPr>
        <w:t>2.学门核心课程（共</w:t>
      </w:r>
      <w:r>
        <w:rPr>
          <w:rFonts w:ascii="Times New Roman" w:hAnsi="Times New Roman" w:cs="宋体"/>
          <w:b/>
          <w:kern w:val="0"/>
          <w:sz w:val="24"/>
        </w:rPr>
        <w:t>23.5</w:t>
      </w:r>
      <w:r>
        <w:rPr>
          <w:rFonts w:hint="eastAsia" w:ascii="Times New Roman" w:hAnsi="Times New Roman" w:cs="宋体"/>
          <w:b/>
          <w:kern w:val="0"/>
          <w:sz w:val="24"/>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480"/>
        <w:gridCol w:w="1278"/>
        <w:gridCol w:w="1302"/>
        <w:gridCol w:w="833"/>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tcPr>
          <w:p>
            <w:pPr>
              <w:widowControl/>
              <w:spacing w:line="360" w:lineRule="auto"/>
              <w:rPr>
                <w:rFonts w:ascii="宋体" w:hAnsi="宋体" w:cs="宋体"/>
                <w:b/>
                <w:kern w:val="0"/>
                <w:szCs w:val="21"/>
              </w:rPr>
            </w:pPr>
            <w:r>
              <w:rPr>
                <w:rFonts w:hint="eastAsia" w:ascii="宋体" w:hAnsi="宋体" w:cs="宋体"/>
                <w:b/>
                <w:kern w:val="0"/>
                <w:szCs w:val="21"/>
              </w:rPr>
              <w:t>课程代码</w:t>
            </w:r>
          </w:p>
        </w:tc>
        <w:tc>
          <w:tcPr>
            <w:tcW w:w="1311" w:type="pct"/>
          </w:tcPr>
          <w:p>
            <w:pPr>
              <w:widowControl/>
              <w:spacing w:line="360" w:lineRule="auto"/>
              <w:rPr>
                <w:rFonts w:ascii="宋体" w:hAnsi="宋体" w:cs="宋体"/>
                <w:b/>
                <w:kern w:val="0"/>
                <w:szCs w:val="21"/>
              </w:rPr>
            </w:pPr>
            <w:r>
              <w:rPr>
                <w:rFonts w:hint="eastAsia" w:ascii="宋体" w:hAnsi="宋体" w:cs="宋体"/>
                <w:b/>
                <w:kern w:val="0"/>
                <w:szCs w:val="21"/>
              </w:rPr>
              <w:t>课程名称</w:t>
            </w:r>
          </w:p>
        </w:tc>
        <w:tc>
          <w:tcPr>
            <w:tcW w:w="675" w:type="pct"/>
          </w:tcPr>
          <w:p>
            <w:pPr>
              <w:widowControl/>
              <w:spacing w:line="360" w:lineRule="auto"/>
              <w:rPr>
                <w:rFonts w:ascii="宋体" w:hAnsi="宋体" w:cs="宋体"/>
                <w:b/>
                <w:kern w:val="0"/>
                <w:szCs w:val="21"/>
              </w:rPr>
            </w:pPr>
            <w:r>
              <w:rPr>
                <w:rFonts w:hint="eastAsia" w:ascii="宋体" w:hAnsi="宋体" w:cs="宋体"/>
                <w:b/>
                <w:kern w:val="0"/>
                <w:szCs w:val="21"/>
              </w:rPr>
              <w:t>学分</w:t>
            </w:r>
          </w:p>
        </w:tc>
        <w:tc>
          <w:tcPr>
            <w:tcW w:w="688" w:type="pct"/>
          </w:tcPr>
          <w:p>
            <w:pPr>
              <w:widowControl/>
              <w:spacing w:line="360" w:lineRule="auto"/>
              <w:rPr>
                <w:rFonts w:ascii="宋体" w:hAnsi="宋体" w:cs="宋体"/>
                <w:b/>
                <w:kern w:val="0"/>
                <w:szCs w:val="21"/>
              </w:rPr>
            </w:pPr>
            <w:r>
              <w:rPr>
                <w:rFonts w:hint="eastAsia" w:ascii="宋体" w:hAnsi="宋体" w:cs="宋体"/>
                <w:b/>
                <w:kern w:val="0"/>
                <w:szCs w:val="21"/>
              </w:rPr>
              <w:t>周学时</w:t>
            </w:r>
          </w:p>
        </w:tc>
        <w:tc>
          <w:tcPr>
            <w:tcW w:w="440" w:type="pct"/>
          </w:tcPr>
          <w:p>
            <w:pPr>
              <w:widowControl/>
              <w:spacing w:line="360" w:lineRule="auto"/>
              <w:rPr>
                <w:rFonts w:ascii="宋体" w:hAnsi="宋体" w:cs="宋体"/>
                <w:b/>
                <w:kern w:val="0"/>
                <w:szCs w:val="21"/>
              </w:rPr>
            </w:pPr>
            <w:r>
              <w:rPr>
                <w:rFonts w:hint="eastAsia" w:ascii="宋体" w:hAnsi="宋体" w:cs="宋体"/>
                <w:b/>
                <w:kern w:val="0"/>
                <w:szCs w:val="21"/>
              </w:rPr>
              <w:t>学期</w:t>
            </w:r>
          </w:p>
        </w:tc>
        <w:tc>
          <w:tcPr>
            <w:tcW w:w="1197" w:type="pct"/>
          </w:tcPr>
          <w:p>
            <w:pPr>
              <w:widowControl/>
              <w:spacing w:line="360" w:lineRule="auto"/>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88" w:type="pct"/>
            <w:vAlign w:val="center"/>
          </w:tcPr>
          <w:p>
            <w:pPr>
              <w:pStyle w:val="59"/>
              <w:jc w:val="both"/>
              <w:rPr>
                <w:rFonts w:ascii="宋体" w:hAnsi="宋体" w:eastAsia="宋体" w:cs="Times New Roman"/>
                <w:color w:val="auto"/>
                <w:sz w:val="21"/>
                <w:szCs w:val="21"/>
              </w:rPr>
            </w:pPr>
          </w:p>
        </w:tc>
        <w:tc>
          <w:tcPr>
            <w:tcW w:w="1311" w:type="pct"/>
            <w:vAlign w:val="center"/>
          </w:tcPr>
          <w:p>
            <w:pPr>
              <w:rPr>
                <w:rFonts w:ascii="宋体" w:hAnsi="宋体"/>
                <w:szCs w:val="21"/>
              </w:rPr>
            </w:pPr>
            <w:r>
              <w:rPr>
                <w:rFonts w:hint="eastAsia" w:ascii="宋体" w:hAnsi="宋体"/>
                <w:szCs w:val="21"/>
              </w:rPr>
              <w:t>高等数学A（上）</w:t>
            </w:r>
          </w:p>
        </w:tc>
        <w:tc>
          <w:tcPr>
            <w:tcW w:w="675" w:type="pct"/>
            <w:vAlign w:val="center"/>
          </w:tcPr>
          <w:p>
            <w:pPr>
              <w:jc w:val="center"/>
              <w:rPr>
                <w:rFonts w:ascii="宋体" w:hAnsi="宋体"/>
                <w:szCs w:val="21"/>
              </w:rPr>
            </w:pPr>
            <w:r>
              <w:rPr>
                <w:rFonts w:hint="eastAsia" w:ascii="宋体" w:hAnsi="宋体"/>
                <w:szCs w:val="21"/>
              </w:rPr>
              <w:t>5</w:t>
            </w:r>
          </w:p>
        </w:tc>
        <w:tc>
          <w:tcPr>
            <w:tcW w:w="688" w:type="pct"/>
            <w:vAlign w:val="center"/>
          </w:tcPr>
          <w:p>
            <w:pPr>
              <w:jc w:val="center"/>
              <w:rPr>
                <w:rFonts w:ascii="宋体" w:hAnsi="宋体"/>
                <w:szCs w:val="21"/>
              </w:rPr>
            </w:pPr>
            <w:r>
              <w:rPr>
                <w:rFonts w:hint="eastAsia" w:ascii="宋体" w:hAnsi="宋体"/>
                <w:szCs w:val="21"/>
              </w:rPr>
              <w:t>5</w:t>
            </w:r>
          </w:p>
        </w:tc>
        <w:tc>
          <w:tcPr>
            <w:tcW w:w="440" w:type="pct"/>
            <w:vAlign w:val="center"/>
          </w:tcPr>
          <w:p>
            <w:pPr>
              <w:jc w:val="center"/>
              <w:rPr>
                <w:rFonts w:ascii="宋体" w:hAnsi="宋体"/>
                <w:szCs w:val="21"/>
              </w:rPr>
            </w:pPr>
            <w:r>
              <w:rPr>
                <w:rFonts w:hint="eastAsia" w:ascii="宋体" w:hAnsi="宋体"/>
                <w:szCs w:val="21"/>
              </w:rPr>
              <w:t>1</w:t>
            </w:r>
          </w:p>
        </w:tc>
        <w:tc>
          <w:tcPr>
            <w:tcW w:w="1197" w:type="pct"/>
            <w:vAlign w:val="center"/>
          </w:tcPr>
          <w:p>
            <w:pPr>
              <w:rPr>
                <w:rFonts w:ascii="宋体" w:hAnsi="宋体"/>
                <w:szCs w:val="21"/>
              </w:rPr>
            </w:pPr>
            <w:r>
              <w:rPr>
                <w:rFonts w:hint="eastAsia" w:ascii="宋体" w:hAnsi="宋体"/>
                <w:szCs w:val="21"/>
              </w:rPr>
              <w:t>80学时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pct"/>
            <w:vAlign w:val="center"/>
          </w:tcPr>
          <w:p>
            <w:pPr>
              <w:pStyle w:val="59"/>
              <w:jc w:val="both"/>
              <w:rPr>
                <w:rFonts w:ascii="宋体" w:hAnsi="宋体" w:eastAsia="宋体" w:cs="Times New Roman"/>
                <w:color w:val="auto"/>
                <w:sz w:val="21"/>
                <w:szCs w:val="21"/>
              </w:rPr>
            </w:pPr>
          </w:p>
        </w:tc>
        <w:tc>
          <w:tcPr>
            <w:tcW w:w="1311" w:type="pct"/>
            <w:vAlign w:val="center"/>
          </w:tcPr>
          <w:p>
            <w:pPr>
              <w:rPr>
                <w:rFonts w:ascii="宋体" w:hAnsi="宋体"/>
                <w:szCs w:val="21"/>
              </w:rPr>
            </w:pPr>
            <w:r>
              <w:rPr>
                <w:rFonts w:hint="eastAsia" w:ascii="宋体" w:hAnsi="宋体"/>
                <w:szCs w:val="21"/>
              </w:rPr>
              <w:t>高等数学A（下）</w:t>
            </w:r>
          </w:p>
        </w:tc>
        <w:tc>
          <w:tcPr>
            <w:tcW w:w="675" w:type="pct"/>
            <w:vAlign w:val="center"/>
          </w:tcPr>
          <w:p>
            <w:pPr>
              <w:jc w:val="center"/>
              <w:rPr>
                <w:rFonts w:ascii="宋体" w:hAnsi="宋体"/>
                <w:szCs w:val="21"/>
              </w:rPr>
            </w:pPr>
            <w:r>
              <w:rPr>
                <w:rFonts w:hint="eastAsia" w:ascii="宋体" w:hAnsi="宋体"/>
                <w:szCs w:val="21"/>
              </w:rPr>
              <w:t>5</w:t>
            </w:r>
          </w:p>
        </w:tc>
        <w:tc>
          <w:tcPr>
            <w:tcW w:w="688" w:type="pct"/>
            <w:vAlign w:val="center"/>
          </w:tcPr>
          <w:p>
            <w:pPr>
              <w:jc w:val="center"/>
              <w:rPr>
                <w:rFonts w:ascii="宋体" w:hAnsi="宋体"/>
                <w:szCs w:val="21"/>
              </w:rPr>
            </w:pPr>
            <w:r>
              <w:rPr>
                <w:rFonts w:hint="eastAsia" w:ascii="宋体" w:hAnsi="宋体"/>
                <w:szCs w:val="21"/>
              </w:rPr>
              <w:t>5</w:t>
            </w:r>
          </w:p>
        </w:tc>
        <w:tc>
          <w:tcPr>
            <w:tcW w:w="440" w:type="pct"/>
            <w:vAlign w:val="center"/>
          </w:tcPr>
          <w:p>
            <w:pPr>
              <w:jc w:val="center"/>
              <w:rPr>
                <w:rFonts w:ascii="宋体" w:hAnsi="宋体"/>
                <w:szCs w:val="21"/>
              </w:rPr>
            </w:pPr>
            <w:r>
              <w:rPr>
                <w:rFonts w:hint="eastAsia" w:ascii="宋体" w:hAnsi="宋体"/>
                <w:szCs w:val="21"/>
              </w:rPr>
              <w:t>2</w:t>
            </w:r>
          </w:p>
        </w:tc>
        <w:tc>
          <w:tcPr>
            <w:tcW w:w="1197" w:type="pct"/>
            <w:vAlign w:val="center"/>
          </w:tcPr>
          <w:p>
            <w:pPr>
              <w:rPr>
                <w:rFonts w:ascii="宋体" w:hAnsi="宋体"/>
                <w:szCs w:val="21"/>
              </w:rPr>
            </w:pPr>
            <w:r>
              <w:rPr>
                <w:rFonts w:hint="eastAsia" w:ascii="宋体" w:hAnsi="宋体"/>
                <w:szCs w:val="21"/>
              </w:rPr>
              <w:t>80学时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88" w:type="pct"/>
            <w:vAlign w:val="center"/>
          </w:tcPr>
          <w:p>
            <w:pPr>
              <w:pStyle w:val="59"/>
              <w:jc w:val="both"/>
              <w:rPr>
                <w:rFonts w:ascii="宋体" w:hAnsi="宋体" w:eastAsia="宋体" w:cs="Times New Roman"/>
                <w:color w:val="auto"/>
                <w:sz w:val="21"/>
                <w:szCs w:val="21"/>
              </w:rPr>
            </w:pPr>
          </w:p>
        </w:tc>
        <w:tc>
          <w:tcPr>
            <w:tcW w:w="1311" w:type="pct"/>
            <w:vAlign w:val="center"/>
          </w:tcPr>
          <w:p>
            <w:pPr>
              <w:rPr>
                <w:rFonts w:ascii="宋体" w:hAnsi="宋体"/>
                <w:szCs w:val="21"/>
              </w:rPr>
            </w:pPr>
            <w:r>
              <w:rPr>
                <w:rFonts w:hint="eastAsia" w:ascii="宋体" w:hAnsi="宋体"/>
                <w:szCs w:val="21"/>
              </w:rPr>
              <w:t>线性代数</w:t>
            </w:r>
          </w:p>
        </w:tc>
        <w:tc>
          <w:tcPr>
            <w:tcW w:w="675" w:type="pct"/>
            <w:vAlign w:val="center"/>
          </w:tcPr>
          <w:p>
            <w:pPr>
              <w:jc w:val="center"/>
              <w:rPr>
                <w:rFonts w:ascii="宋体" w:hAnsi="宋体"/>
                <w:szCs w:val="21"/>
              </w:rPr>
            </w:pPr>
            <w:r>
              <w:rPr>
                <w:rFonts w:hint="eastAsia" w:ascii="宋体" w:hAnsi="宋体"/>
                <w:szCs w:val="21"/>
              </w:rPr>
              <w:t>2.5</w:t>
            </w:r>
          </w:p>
        </w:tc>
        <w:tc>
          <w:tcPr>
            <w:tcW w:w="688" w:type="pct"/>
            <w:vAlign w:val="center"/>
          </w:tcPr>
          <w:p>
            <w:pPr>
              <w:jc w:val="center"/>
              <w:rPr>
                <w:rFonts w:ascii="宋体" w:hAnsi="宋体"/>
                <w:szCs w:val="21"/>
              </w:rPr>
            </w:pPr>
            <w:r>
              <w:rPr>
                <w:rFonts w:hint="eastAsia" w:ascii="宋体" w:hAnsi="宋体"/>
                <w:szCs w:val="21"/>
              </w:rPr>
              <w:t>2.5</w:t>
            </w:r>
          </w:p>
        </w:tc>
        <w:tc>
          <w:tcPr>
            <w:tcW w:w="440" w:type="pct"/>
            <w:vAlign w:val="center"/>
          </w:tcPr>
          <w:p>
            <w:pPr>
              <w:jc w:val="center"/>
              <w:rPr>
                <w:rFonts w:ascii="宋体" w:hAnsi="宋体"/>
                <w:szCs w:val="21"/>
              </w:rPr>
            </w:pPr>
            <w:r>
              <w:rPr>
                <w:rFonts w:hint="eastAsia" w:ascii="宋体" w:hAnsi="宋体"/>
                <w:szCs w:val="21"/>
              </w:rPr>
              <w:t>1</w:t>
            </w:r>
          </w:p>
        </w:tc>
        <w:tc>
          <w:tcPr>
            <w:tcW w:w="1197" w:type="pct"/>
            <w:vAlign w:val="center"/>
          </w:tcPr>
          <w:p>
            <w:pPr>
              <w:rPr>
                <w:rFonts w:ascii="宋体" w:hAnsi="宋体"/>
                <w:szCs w:val="21"/>
              </w:rPr>
            </w:pPr>
            <w:r>
              <w:rPr>
                <w:rFonts w:hint="eastAsia" w:ascii="宋体" w:hAnsi="宋体"/>
                <w:szCs w:val="21"/>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88" w:type="pct"/>
            <w:vAlign w:val="center"/>
          </w:tcPr>
          <w:p>
            <w:pPr>
              <w:pStyle w:val="59"/>
              <w:jc w:val="both"/>
              <w:rPr>
                <w:rFonts w:ascii="宋体" w:hAnsi="宋体" w:eastAsia="宋体" w:cs="Times New Roman"/>
                <w:color w:val="auto"/>
                <w:sz w:val="21"/>
                <w:szCs w:val="21"/>
              </w:rPr>
            </w:pPr>
          </w:p>
        </w:tc>
        <w:tc>
          <w:tcPr>
            <w:tcW w:w="1311" w:type="pct"/>
            <w:vAlign w:val="center"/>
          </w:tcPr>
          <w:p>
            <w:pPr>
              <w:rPr>
                <w:rFonts w:ascii="宋体" w:hAnsi="宋体"/>
                <w:szCs w:val="21"/>
              </w:rPr>
            </w:pPr>
            <w:r>
              <w:rPr>
                <w:rFonts w:hint="eastAsia" w:ascii="宋体" w:hAnsi="宋体"/>
                <w:szCs w:val="21"/>
              </w:rPr>
              <w:t>概率论与数理统计学（理）</w:t>
            </w:r>
          </w:p>
        </w:tc>
        <w:tc>
          <w:tcPr>
            <w:tcW w:w="675" w:type="pct"/>
            <w:vAlign w:val="center"/>
          </w:tcPr>
          <w:p>
            <w:pPr>
              <w:jc w:val="center"/>
              <w:rPr>
                <w:rFonts w:ascii="宋体" w:hAnsi="宋体"/>
                <w:szCs w:val="21"/>
              </w:rPr>
            </w:pPr>
            <w:r>
              <w:rPr>
                <w:rFonts w:hint="eastAsia" w:ascii="宋体" w:hAnsi="宋体"/>
                <w:szCs w:val="21"/>
              </w:rPr>
              <w:t>3</w:t>
            </w:r>
          </w:p>
        </w:tc>
        <w:tc>
          <w:tcPr>
            <w:tcW w:w="688" w:type="pct"/>
            <w:vAlign w:val="center"/>
          </w:tcPr>
          <w:p>
            <w:pPr>
              <w:jc w:val="center"/>
              <w:rPr>
                <w:rFonts w:ascii="宋体" w:hAnsi="宋体"/>
                <w:szCs w:val="21"/>
              </w:rPr>
            </w:pPr>
            <w:r>
              <w:rPr>
                <w:rFonts w:hint="eastAsia" w:ascii="宋体" w:hAnsi="宋体"/>
                <w:szCs w:val="21"/>
              </w:rPr>
              <w:t>3</w:t>
            </w:r>
          </w:p>
        </w:tc>
        <w:tc>
          <w:tcPr>
            <w:tcW w:w="440" w:type="pct"/>
            <w:vAlign w:val="center"/>
          </w:tcPr>
          <w:p>
            <w:pPr>
              <w:jc w:val="center"/>
              <w:rPr>
                <w:rFonts w:ascii="宋体" w:hAnsi="宋体"/>
                <w:szCs w:val="21"/>
              </w:rPr>
            </w:pPr>
            <w:r>
              <w:rPr>
                <w:rFonts w:hint="eastAsia" w:ascii="宋体" w:hAnsi="宋体"/>
                <w:szCs w:val="21"/>
              </w:rPr>
              <w:t>3</w:t>
            </w:r>
          </w:p>
        </w:tc>
        <w:tc>
          <w:tcPr>
            <w:tcW w:w="1197" w:type="pct"/>
            <w:vAlign w:val="center"/>
          </w:tcPr>
          <w:p>
            <w:pPr>
              <w:rPr>
                <w:rFonts w:ascii="宋体" w:hAnsi="宋体"/>
                <w:szCs w:val="21"/>
              </w:rPr>
            </w:pPr>
            <w:r>
              <w:rPr>
                <w:rFonts w:hint="eastAsia" w:ascii="宋体" w:hAnsi="宋体"/>
                <w:szCs w:val="21"/>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88" w:type="pct"/>
            <w:vAlign w:val="center"/>
          </w:tcPr>
          <w:p>
            <w:pPr>
              <w:pStyle w:val="59"/>
              <w:jc w:val="both"/>
              <w:rPr>
                <w:rFonts w:ascii="宋体" w:hAnsi="宋体" w:eastAsia="宋体" w:cs="Times New Roman"/>
                <w:color w:val="auto"/>
                <w:sz w:val="21"/>
                <w:szCs w:val="21"/>
              </w:rPr>
            </w:pPr>
          </w:p>
        </w:tc>
        <w:tc>
          <w:tcPr>
            <w:tcW w:w="1311" w:type="pct"/>
            <w:vAlign w:val="center"/>
          </w:tcPr>
          <w:p>
            <w:pPr>
              <w:rPr>
                <w:rFonts w:ascii="宋体" w:hAnsi="宋体"/>
                <w:szCs w:val="21"/>
              </w:rPr>
            </w:pPr>
            <w:r>
              <w:rPr>
                <w:rFonts w:hint="eastAsia" w:ascii="宋体" w:hAnsi="宋体"/>
                <w:szCs w:val="21"/>
              </w:rPr>
              <w:t>大学物理I</w:t>
            </w:r>
          </w:p>
        </w:tc>
        <w:tc>
          <w:tcPr>
            <w:tcW w:w="675" w:type="pct"/>
            <w:vAlign w:val="center"/>
          </w:tcPr>
          <w:p>
            <w:pPr>
              <w:jc w:val="center"/>
              <w:rPr>
                <w:rFonts w:ascii="宋体" w:hAnsi="宋体"/>
                <w:szCs w:val="21"/>
              </w:rPr>
            </w:pPr>
            <w:r>
              <w:rPr>
                <w:rFonts w:hint="eastAsia" w:ascii="宋体" w:hAnsi="宋体"/>
                <w:szCs w:val="21"/>
              </w:rPr>
              <w:t>6</w:t>
            </w:r>
          </w:p>
        </w:tc>
        <w:tc>
          <w:tcPr>
            <w:tcW w:w="688" w:type="pct"/>
            <w:vAlign w:val="center"/>
          </w:tcPr>
          <w:p>
            <w:pPr>
              <w:jc w:val="center"/>
              <w:rPr>
                <w:rFonts w:ascii="宋体" w:hAnsi="宋体"/>
                <w:szCs w:val="21"/>
              </w:rPr>
            </w:pPr>
            <w:r>
              <w:rPr>
                <w:rFonts w:hint="eastAsia" w:ascii="宋体" w:hAnsi="宋体"/>
                <w:szCs w:val="21"/>
              </w:rPr>
              <w:t>6</w:t>
            </w:r>
          </w:p>
        </w:tc>
        <w:tc>
          <w:tcPr>
            <w:tcW w:w="440" w:type="pct"/>
            <w:vAlign w:val="center"/>
          </w:tcPr>
          <w:p>
            <w:pPr>
              <w:jc w:val="center"/>
              <w:rPr>
                <w:rFonts w:ascii="宋体" w:hAnsi="宋体"/>
                <w:szCs w:val="21"/>
              </w:rPr>
            </w:pPr>
            <w:r>
              <w:rPr>
                <w:rFonts w:hint="eastAsia" w:ascii="宋体" w:hAnsi="宋体"/>
                <w:szCs w:val="21"/>
              </w:rPr>
              <w:t>2,3</w:t>
            </w:r>
          </w:p>
        </w:tc>
        <w:tc>
          <w:tcPr>
            <w:tcW w:w="1197" w:type="pct"/>
            <w:vAlign w:val="center"/>
          </w:tcPr>
          <w:p>
            <w:pPr>
              <w:rPr>
                <w:rFonts w:ascii="宋体" w:hAnsi="宋体"/>
                <w:szCs w:val="21"/>
              </w:rPr>
            </w:pPr>
            <w:r>
              <w:rPr>
                <w:rFonts w:hint="eastAsia" w:ascii="宋体" w:hAnsi="宋体"/>
                <w:szCs w:val="21"/>
              </w:rPr>
              <w:t>96学时，其中第2学期64学时，4学分，第3学期32学时，2学分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8" w:type="pct"/>
            <w:vAlign w:val="center"/>
          </w:tcPr>
          <w:p>
            <w:pPr>
              <w:rPr>
                <w:rFonts w:ascii="宋体" w:hAnsi="宋体"/>
                <w:szCs w:val="21"/>
              </w:rPr>
            </w:pPr>
          </w:p>
        </w:tc>
        <w:tc>
          <w:tcPr>
            <w:tcW w:w="1311" w:type="pct"/>
            <w:vAlign w:val="center"/>
          </w:tcPr>
          <w:p>
            <w:pPr>
              <w:rPr>
                <w:rFonts w:ascii="宋体" w:hAnsi="宋体"/>
                <w:szCs w:val="21"/>
              </w:rPr>
            </w:pPr>
            <w:r>
              <w:rPr>
                <w:rFonts w:hint="eastAsia" w:ascii="宋体" w:hAnsi="宋体"/>
                <w:szCs w:val="21"/>
              </w:rPr>
              <w:t>大学物理实验</w:t>
            </w:r>
          </w:p>
        </w:tc>
        <w:tc>
          <w:tcPr>
            <w:tcW w:w="675" w:type="pct"/>
            <w:vAlign w:val="center"/>
          </w:tcPr>
          <w:p>
            <w:pPr>
              <w:jc w:val="center"/>
              <w:rPr>
                <w:rFonts w:ascii="宋体" w:hAnsi="宋体"/>
                <w:szCs w:val="21"/>
              </w:rPr>
            </w:pPr>
            <w:r>
              <w:rPr>
                <w:rFonts w:hint="eastAsia" w:ascii="宋体" w:hAnsi="宋体"/>
                <w:szCs w:val="21"/>
              </w:rPr>
              <w:t>2</w:t>
            </w:r>
          </w:p>
        </w:tc>
        <w:tc>
          <w:tcPr>
            <w:tcW w:w="688" w:type="pct"/>
            <w:vAlign w:val="center"/>
          </w:tcPr>
          <w:p>
            <w:pPr>
              <w:jc w:val="center"/>
              <w:rPr>
                <w:rFonts w:ascii="宋体" w:hAnsi="宋体"/>
                <w:szCs w:val="21"/>
              </w:rPr>
            </w:pPr>
            <w:r>
              <w:rPr>
                <w:rFonts w:hint="eastAsia" w:ascii="宋体" w:hAnsi="宋体"/>
                <w:szCs w:val="21"/>
              </w:rPr>
              <w:t>2</w:t>
            </w:r>
          </w:p>
        </w:tc>
        <w:tc>
          <w:tcPr>
            <w:tcW w:w="440" w:type="pct"/>
            <w:vAlign w:val="center"/>
          </w:tcPr>
          <w:p>
            <w:pPr>
              <w:jc w:val="center"/>
              <w:rPr>
                <w:rFonts w:ascii="宋体" w:hAnsi="宋体"/>
                <w:szCs w:val="21"/>
              </w:rPr>
            </w:pPr>
            <w:r>
              <w:rPr>
                <w:rFonts w:hint="eastAsia" w:ascii="宋体" w:hAnsi="宋体"/>
                <w:szCs w:val="21"/>
              </w:rPr>
              <w:t>2</w:t>
            </w:r>
          </w:p>
        </w:tc>
        <w:tc>
          <w:tcPr>
            <w:tcW w:w="1197" w:type="pct"/>
            <w:vAlign w:val="center"/>
          </w:tcPr>
          <w:p>
            <w:pPr>
              <w:rPr>
                <w:rFonts w:ascii="宋体" w:hAnsi="宋体"/>
                <w:szCs w:val="21"/>
              </w:rPr>
            </w:pPr>
            <w:r>
              <w:rPr>
                <w:rFonts w:hint="eastAsia" w:ascii="宋体" w:hAnsi="宋体"/>
                <w:szCs w:val="21"/>
              </w:rPr>
              <w:t>64学时，2学分，第2学期开出</w:t>
            </w:r>
          </w:p>
        </w:tc>
      </w:tr>
    </w:tbl>
    <w:p>
      <w:pPr>
        <w:widowControl/>
        <w:spacing w:line="360" w:lineRule="auto"/>
        <w:rPr>
          <w:rFonts w:ascii="Times New Roman" w:hAnsi="Times New Roman" w:cs="宋体"/>
          <w:kern w:val="0"/>
          <w:sz w:val="24"/>
        </w:rPr>
      </w:pPr>
    </w:p>
    <w:p>
      <w:pPr>
        <w:widowControl/>
        <w:spacing w:line="360" w:lineRule="auto"/>
        <w:jc w:val="left"/>
        <w:rPr>
          <w:rFonts w:ascii="宋体" w:hAnsi="宋体" w:cs="宋体"/>
          <w:b/>
          <w:kern w:val="0"/>
          <w:sz w:val="24"/>
        </w:rPr>
      </w:pPr>
      <w:r>
        <w:rPr>
          <w:rFonts w:hint="eastAsia" w:ascii="宋体" w:hAnsi="宋体" w:cs="宋体"/>
          <w:b/>
          <w:kern w:val="0"/>
          <w:sz w:val="24"/>
        </w:rPr>
        <w:t>3</w:t>
      </w:r>
      <w:r>
        <w:rPr>
          <w:rFonts w:ascii="宋体" w:hAnsi="宋体" w:cs="宋体"/>
          <w:b/>
          <w:kern w:val="0"/>
          <w:sz w:val="24"/>
        </w:rPr>
        <w:t>.</w:t>
      </w:r>
      <w:r>
        <w:rPr>
          <w:rFonts w:hint="eastAsia" w:ascii="宋体" w:hAnsi="宋体" w:cs="宋体"/>
          <w:b/>
          <w:kern w:val="0"/>
          <w:sz w:val="24"/>
        </w:rPr>
        <w:t>学类核心课程（共</w:t>
      </w:r>
      <w:r>
        <w:rPr>
          <w:rFonts w:ascii="宋体" w:hAnsi="宋体" w:cs="宋体"/>
          <w:b/>
          <w:kern w:val="0"/>
          <w:sz w:val="24"/>
        </w:rPr>
        <w:t>30.5</w:t>
      </w:r>
      <w:r>
        <w:rPr>
          <w:rFonts w:hint="eastAsia" w:ascii="宋体" w:hAnsi="宋体" w:cs="宋体"/>
          <w:b/>
          <w:kern w:val="0"/>
          <w:sz w:val="24"/>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269"/>
        <w:gridCol w:w="1158"/>
        <w:gridCol w:w="1158"/>
        <w:gridCol w:w="115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kern w:val="0"/>
                <w:szCs w:val="21"/>
              </w:rPr>
            </w:pPr>
            <w:r>
              <w:rPr>
                <w:rFonts w:hint="eastAsia" w:ascii="宋体" w:hAnsi="宋体" w:cs="宋体"/>
                <w:b/>
                <w:kern w:val="0"/>
                <w:szCs w:val="21"/>
              </w:rPr>
              <w:t>课程代码</w:t>
            </w:r>
          </w:p>
        </w:tc>
        <w:tc>
          <w:tcPr>
            <w:tcW w:w="1199" w:type="pct"/>
          </w:tcPr>
          <w:p>
            <w:pPr>
              <w:widowControl/>
              <w:spacing w:line="360" w:lineRule="auto"/>
              <w:rPr>
                <w:rFonts w:ascii="宋体" w:hAnsi="宋体" w:cs="宋体"/>
                <w:b/>
                <w:kern w:val="0"/>
                <w:szCs w:val="21"/>
              </w:rPr>
            </w:pPr>
            <w:r>
              <w:rPr>
                <w:rFonts w:hint="eastAsia" w:ascii="宋体" w:hAnsi="宋体" w:cs="宋体"/>
                <w:b/>
                <w:kern w:val="0"/>
                <w:szCs w:val="21"/>
              </w:rPr>
              <w:t>课程名称</w:t>
            </w:r>
          </w:p>
        </w:tc>
        <w:tc>
          <w:tcPr>
            <w:tcW w:w="612" w:type="pct"/>
          </w:tcPr>
          <w:p>
            <w:pPr>
              <w:widowControl/>
              <w:spacing w:line="360" w:lineRule="auto"/>
              <w:rPr>
                <w:rFonts w:ascii="宋体" w:hAnsi="宋体" w:cs="宋体"/>
                <w:b/>
                <w:kern w:val="0"/>
                <w:szCs w:val="21"/>
              </w:rPr>
            </w:pPr>
            <w:r>
              <w:rPr>
                <w:rFonts w:hint="eastAsia" w:ascii="宋体" w:hAnsi="宋体" w:cs="宋体"/>
                <w:b/>
                <w:kern w:val="0"/>
                <w:szCs w:val="21"/>
              </w:rPr>
              <w:t>学分</w:t>
            </w:r>
          </w:p>
        </w:tc>
        <w:tc>
          <w:tcPr>
            <w:tcW w:w="612" w:type="pct"/>
          </w:tcPr>
          <w:p>
            <w:pPr>
              <w:widowControl/>
              <w:spacing w:line="360" w:lineRule="auto"/>
              <w:rPr>
                <w:rFonts w:ascii="宋体" w:hAnsi="宋体" w:cs="宋体"/>
                <w:b/>
                <w:kern w:val="0"/>
                <w:szCs w:val="21"/>
              </w:rPr>
            </w:pPr>
            <w:r>
              <w:rPr>
                <w:rFonts w:hint="eastAsia" w:ascii="宋体" w:hAnsi="宋体" w:cs="宋体"/>
                <w:b/>
                <w:kern w:val="0"/>
                <w:szCs w:val="21"/>
              </w:rPr>
              <w:t>周学时</w:t>
            </w:r>
          </w:p>
        </w:tc>
        <w:tc>
          <w:tcPr>
            <w:tcW w:w="612" w:type="pct"/>
          </w:tcPr>
          <w:p>
            <w:pPr>
              <w:widowControl/>
              <w:spacing w:line="360" w:lineRule="auto"/>
              <w:rPr>
                <w:rFonts w:ascii="宋体" w:hAnsi="宋体" w:cs="宋体"/>
                <w:b/>
                <w:kern w:val="0"/>
                <w:szCs w:val="21"/>
              </w:rPr>
            </w:pPr>
            <w:r>
              <w:rPr>
                <w:rFonts w:hint="eastAsia" w:ascii="宋体" w:hAnsi="宋体" w:cs="宋体"/>
                <w:b/>
                <w:kern w:val="0"/>
                <w:szCs w:val="21"/>
              </w:rPr>
              <w:t>学期</w:t>
            </w:r>
          </w:p>
        </w:tc>
        <w:tc>
          <w:tcPr>
            <w:tcW w:w="1025" w:type="pct"/>
          </w:tcPr>
          <w:p>
            <w:pPr>
              <w:widowControl/>
              <w:spacing w:line="360" w:lineRule="auto"/>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无机化学（二）</w:t>
            </w:r>
          </w:p>
        </w:tc>
        <w:tc>
          <w:tcPr>
            <w:tcW w:w="612" w:type="pct"/>
            <w:vAlign w:val="center"/>
          </w:tcPr>
          <w:p>
            <w:pPr>
              <w:jc w:val="center"/>
              <w:rPr>
                <w:rFonts w:ascii="宋体" w:hAnsi="宋体"/>
                <w:szCs w:val="21"/>
              </w:rPr>
            </w:pPr>
            <w:r>
              <w:rPr>
                <w:rFonts w:ascii="宋体" w:hAnsi="宋体"/>
                <w:szCs w:val="21"/>
              </w:rPr>
              <w:t>4.5</w:t>
            </w:r>
          </w:p>
        </w:tc>
        <w:tc>
          <w:tcPr>
            <w:tcW w:w="612" w:type="pct"/>
            <w:vAlign w:val="center"/>
          </w:tcPr>
          <w:p>
            <w:pPr>
              <w:jc w:val="center"/>
              <w:rPr>
                <w:rFonts w:ascii="宋体" w:hAnsi="宋体"/>
                <w:szCs w:val="21"/>
              </w:rPr>
            </w:pPr>
            <w:r>
              <w:rPr>
                <w:rFonts w:ascii="宋体" w:hAnsi="宋体"/>
                <w:szCs w:val="21"/>
              </w:rPr>
              <w:t>4.5</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2</w:t>
            </w:r>
          </w:p>
        </w:tc>
        <w:tc>
          <w:tcPr>
            <w:tcW w:w="1025" w:type="pct"/>
            <w:vAlign w:val="center"/>
          </w:tcPr>
          <w:p>
            <w:pPr>
              <w:rPr>
                <w:rFonts w:ascii="宋体" w:hAnsi="宋体"/>
                <w:szCs w:val="21"/>
              </w:rPr>
            </w:pPr>
            <w:r>
              <w:rPr>
                <w:rFonts w:hint="eastAsia" w:ascii="宋体" w:hAnsi="宋体"/>
                <w:szCs w:val="21"/>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无机化学实验（二）</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1,2</w:t>
            </w:r>
          </w:p>
        </w:tc>
        <w:tc>
          <w:tcPr>
            <w:tcW w:w="1025" w:type="pct"/>
            <w:vAlign w:val="center"/>
          </w:tcPr>
          <w:p>
            <w:pPr>
              <w:rPr>
                <w:rFonts w:ascii="宋体" w:hAnsi="宋体"/>
                <w:szCs w:val="21"/>
              </w:rPr>
            </w:pPr>
            <w:r>
              <w:rPr>
                <w:rFonts w:hint="eastAsia" w:ascii="宋体" w:hAnsi="宋体"/>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有机化学（二）</w:t>
            </w:r>
          </w:p>
        </w:tc>
        <w:tc>
          <w:tcPr>
            <w:tcW w:w="612" w:type="pct"/>
            <w:vAlign w:val="center"/>
          </w:tcPr>
          <w:p>
            <w:pPr>
              <w:jc w:val="center"/>
              <w:rPr>
                <w:rFonts w:ascii="宋体" w:hAnsi="宋体"/>
                <w:szCs w:val="21"/>
              </w:rPr>
            </w:pPr>
            <w:r>
              <w:rPr>
                <w:rFonts w:ascii="宋体" w:hAnsi="宋体"/>
                <w:szCs w:val="21"/>
              </w:rPr>
              <w:t>3</w:t>
            </w:r>
          </w:p>
        </w:tc>
        <w:tc>
          <w:tcPr>
            <w:tcW w:w="612" w:type="pct"/>
            <w:vAlign w:val="center"/>
          </w:tcPr>
          <w:p>
            <w:pPr>
              <w:jc w:val="center"/>
              <w:rPr>
                <w:rFonts w:ascii="宋体" w:hAnsi="宋体"/>
                <w:szCs w:val="21"/>
              </w:rPr>
            </w:pPr>
            <w:r>
              <w:rPr>
                <w:rFonts w:ascii="宋体" w:hAnsi="宋体"/>
                <w:szCs w:val="21"/>
              </w:rPr>
              <w:t>3</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2</w:t>
            </w:r>
          </w:p>
        </w:tc>
        <w:tc>
          <w:tcPr>
            <w:tcW w:w="1025" w:type="pct"/>
            <w:vAlign w:val="center"/>
          </w:tcPr>
          <w:p>
            <w:pPr>
              <w:rPr>
                <w:rFonts w:ascii="宋体" w:hAnsi="宋体"/>
                <w:szCs w:val="21"/>
              </w:rPr>
            </w:pPr>
            <w:r>
              <w:rPr>
                <w:rFonts w:hint="eastAsia" w:ascii="宋体" w:hAnsi="宋体"/>
                <w:szCs w:val="21"/>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有机化学实验（二）</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2</w:t>
            </w:r>
          </w:p>
        </w:tc>
        <w:tc>
          <w:tcPr>
            <w:tcW w:w="1025" w:type="pct"/>
            <w:vAlign w:val="center"/>
          </w:tcPr>
          <w:p>
            <w:pPr>
              <w:rPr>
                <w:rFonts w:ascii="宋体" w:hAnsi="宋体"/>
                <w:szCs w:val="21"/>
              </w:rPr>
            </w:pPr>
            <w:r>
              <w:rPr>
                <w:rFonts w:hint="eastAsia" w:ascii="宋体" w:hAnsi="宋体"/>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分析化学（二）</w:t>
            </w:r>
          </w:p>
        </w:tc>
        <w:tc>
          <w:tcPr>
            <w:tcW w:w="612" w:type="pct"/>
            <w:vAlign w:val="center"/>
          </w:tcPr>
          <w:p>
            <w:pPr>
              <w:jc w:val="center"/>
              <w:rPr>
                <w:rFonts w:ascii="宋体" w:hAnsi="宋体"/>
                <w:szCs w:val="21"/>
              </w:rPr>
            </w:pPr>
            <w:r>
              <w:rPr>
                <w:rFonts w:ascii="宋体" w:hAnsi="宋体"/>
                <w:szCs w:val="21"/>
              </w:rPr>
              <w:t>2.5</w:t>
            </w:r>
          </w:p>
        </w:tc>
        <w:tc>
          <w:tcPr>
            <w:tcW w:w="612" w:type="pct"/>
            <w:vAlign w:val="center"/>
          </w:tcPr>
          <w:p>
            <w:pPr>
              <w:jc w:val="center"/>
              <w:rPr>
                <w:rFonts w:ascii="宋体" w:hAnsi="宋体"/>
                <w:szCs w:val="21"/>
              </w:rPr>
            </w:pPr>
            <w:r>
              <w:rPr>
                <w:rFonts w:ascii="宋体" w:hAnsi="宋体"/>
                <w:szCs w:val="21"/>
              </w:rPr>
              <w:t>2.5</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3</w:t>
            </w:r>
          </w:p>
        </w:tc>
        <w:tc>
          <w:tcPr>
            <w:tcW w:w="1025" w:type="pct"/>
            <w:vAlign w:val="center"/>
          </w:tcPr>
          <w:p>
            <w:pPr>
              <w:rPr>
                <w:rFonts w:ascii="宋体" w:hAnsi="宋体"/>
                <w:szCs w:val="21"/>
              </w:rPr>
            </w:pPr>
            <w:r>
              <w:rPr>
                <w:rFonts w:hint="eastAsia" w:ascii="宋体" w:hAnsi="宋体"/>
                <w:szCs w:val="21"/>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分析化学实验（二）</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3</w:t>
            </w:r>
          </w:p>
        </w:tc>
        <w:tc>
          <w:tcPr>
            <w:tcW w:w="1025" w:type="pct"/>
            <w:vAlign w:val="center"/>
          </w:tcPr>
          <w:p>
            <w:pPr>
              <w:rPr>
                <w:rFonts w:ascii="宋体" w:hAnsi="宋体"/>
                <w:szCs w:val="21"/>
              </w:rPr>
            </w:pPr>
            <w:r>
              <w:rPr>
                <w:rFonts w:hint="eastAsia" w:ascii="宋体" w:hAnsi="宋体"/>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生物化学（一）</w:t>
            </w:r>
          </w:p>
        </w:tc>
        <w:tc>
          <w:tcPr>
            <w:tcW w:w="612" w:type="pct"/>
            <w:vAlign w:val="center"/>
          </w:tcPr>
          <w:p>
            <w:pPr>
              <w:jc w:val="center"/>
              <w:rPr>
                <w:rFonts w:ascii="宋体" w:hAnsi="宋体"/>
                <w:szCs w:val="21"/>
              </w:rPr>
            </w:pPr>
            <w:r>
              <w:rPr>
                <w:rFonts w:ascii="宋体" w:hAnsi="宋体"/>
                <w:szCs w:val="21"/>
              </w:rPr>
              <w:t>4</w:t>
            </w:r>
          </w:p>
        </w:tc>
        <w:tc>
          <w:tcPr>
            <w:tcW w:w="612" w:type="pct"/>
            <w:vAlign w:val="center"/>
          </w:tcPr>
          <w:p>
            <w:pPr>
              <w:jc w:val="center"/>
              <w:rPr>
                <w:rFonts w:ascii="宋体" w:hAnsi="宋体"/>
                <w:szCs w:val="21"/>
              </w:rPr>
            </w:pPr>
            <w:r>
              <w:rPr>
                <w:rFonts w:ascii="宋体" w:hAnsi="宋体"/>
                <w:szCs w:val="21"/>
              </w:rPr>
              <w:t>4</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3</w:t>
            </w:r>
          </w:p>
        </w:tc>
        <w:tc>
          <w:tcPr>
            <w:tcW w:w="1025" w:type="pct"/>
            <w:vAlign w:val="center"/>
          </w:tcPr>
          <w:p>
            <w:pPr>
              <w:rPr>
                <w:rFonts w:ascii="宋体" w:hAnsi="宋体"/>
                <w:szCs w:val="21"/>
              </w:rPr>
            </w:pPr>
            <w:r>
              <w:rPr>
                <w:rFonts w:hint="eastAsia" w:ascii="宋体" w:hAnsi="宋体"/>
                <w:szCs w:val="21"/>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生物化学实验（一）</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3</w:t>
            </w:r>
          </w:p>
        </w:tc>
        <w:tc>
          <w:tcPr>
            <w:tcW w:w="1025" w:type="pct"/>
            <w:vAlign w:val="center"/>
          </w:tcPr>
          <w:p>
            <w:pPr>
              <w:rPr>
                <w:rFonts w:ascii="宋体" w:hAnsi="宋体"/>
                <w:szCs w:val="21"/>
              </w:rPr>
            </w:pPr>
            <w:r>
              <w:rPr>
                <w:rFonts w:hint="eastAsia" w:ascii="宋体" w:hAnsi="宋体"/>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微生物学（一）</w:t>
            </w:r>
          </w:p>
        </w:tc>
        <w:tc>
          <w:tcPr>
            <w:tcW w:w="612" w:type="pct"/>
            <w:vAlign w:val="center"/>
          </w:tcPr>
          <w:p>
            <w:pPr>
              <w:jc w:val="center"/>
              <w:rPr>
                <w:rFonts w:ascii="宋体" w:hAnsi="宋体"/>
                <w:szCs w:val="21"/>
              </w:rPr>
            </w:pPr>
            <w:r>
              <w:rPr>
                <w:rFonts w:ascii="宋体" w:hAnsi="宋体"/>
                <w:szCs w:val="21"/>
              </w:rPr>
              <w:t>3</w:t>
            </w:r>
          </w:p>
        </w:tc>
        <w:tc>
          <w:tcPr>
            <w:tcW w:w="612" w:type="pct"/>
            <w:vAlign w:val="center"/>
          </w:tcPr>
          <w:p>
            <w:pPr>
              <w:jc w:val="center"/>
              <w:rPr>
                <w:rFonts w:ascii="宋体" w:hAnsi="宋体"/>
                <w:szCs w:val="21"/>
              </w:rPr>
            </w:pPr>
            <w:r>
              <w:rPr>
                <w:rFonts w:ascii="宋体" w:hAnsi="宋体"/>
                <w:szCs w:val="21"/>
              </w:rPr>
              <w:t>3</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4</w:t>
            </w:r>
          </w:p>
        </w:tc>
        <w:tc>
          <w:tcPr>
            <w:tcW w:w="1025" w:type="pct"/>
            <w:vAlign w:val="center"/>
          </w:tcPr>
          <w:p>
            <w:pPr>
              <w:rPr>
                <w:rFonts w:ascii="宋体" w:hAnsi="宋体"/>
                <w:szCs w:val="21"/>
              </w:rPr>
            </w:pPr>
            <w:r>
              <w:rPr>
                <w:rFonts w:hint="eastAsia" w:ascii="宋体" w:hAnsi="宋体"/>
                <w:szCs w:val="21"/>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微生物学实验（一）</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4</w:t>
            </w:r>
          </w:p>
        </w:tc>
        <w:tc>
          <w:tcPr>
            <w:tcW w:w="1025" w:type="pct"/>
            <w:vAlign w:val="center"/>
          </w:tcPr>
          <w:p>
            <w:pPr>
              <w:rPr>
                <w:rFonts w:ascii="宋体" w:hAnsi="宋体"/>
                <w:szCs w:val="21"/>
              </w:rPr>
            </w:pPr>
            <w:r>
              <w:rPr>
                <w:rFonts w:hint="eastAsia" w:ascii="宋体" w:hAnsi="宋体"/>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物理化学（三）</w:t>
            </w:r>
          </w:p>
        </w:tc>
        <w:tc>
          <w:tcPr>
            <w:tcW w:w="612" w:type="pct"/>
            <w:vAlign w:val="center"/>
          </w:tcPr>
          <w:p>
            <w:pPr>
              <w:jc w:val="center"/>
              <w:rPr>
                <w:rFonts w:ascii="宋体" w:hAnsi="宋体"/>
                <w:szCs w:val="21"/>
              </w:rPr>
            </w:pPr>
            <w:r>
              <w:rPr>
                <w:rFonts w:ascii="宋体" w:hAnsi="宋体"/>
                <w:szCs w:val="21"/>
              </w:rPr>
              <w:t>3.5</w:t>
            </w:r>
          </w:p>
        </w:tc>
        <w:tc>
          <w:tcPr>
            <w:tcW w:w="612" w:type="pct"/>
            <w:vAlign w:val="center"/>
          </w:tcPr>
          <w:p>
            <w:pPr>
              <w:jc w:val="center"/>
              <w:rPr>
                <w:rFonts w:ascii="宋体" w:hAnsi="宋体"/>
                <w:szCs w:val="21"/>
              </w:rPr>
            </w:pPr>
            <w:r>
              <w:rPr>
                <w:rFonts w:ascii="宋体" w:hAnsi="宋体"/>
                <w:szCs w:val="21"/>
              </w:rPr>
              <w:t>3.5</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4</w:t>
            </w:r>
          </w:p>
        </w:tc>
        <w:tc>
          <w:tcPr>
            <w:tcW w:w="1025" w:type="pct"/>
            <w:vAlign w:val="center"/>
          </w:tcPr>
          <w:p>
            <w:pPr>
              <w:rPr>
                <w:rFonts w:ascii="宋体" w:hAnsi="宋体"/>
                <w:szCs w:val="21"/>
              </w:rPr>
            </w:pPr>
            <w:r>
              <w:rPr>
                <w:rFonts w:hint="eastAsia" w:ascii="宋体" w:hAnsi="宋体"/>
                <w:szCs w:val="21"/>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物理化学实验（三）</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4</w:t>
            </w:r>
          </w:p>
        </w:tc>
        <w:tc>
          <w:tcPr>
            <w:tcW w:w="1025" w:type="pct"/>
            <w:vAlign w:val="center"/>
          </w:tcPr>
          <w:p>
            <w:pPr>
              <w:rPr>
                <w:rFonts w:ascii="宋体" w:hAnsi="宋体"/>
                <w:szCs w:val="21"/>
              </w:rPr>
            </w:pPr>
            <w:r>
              <w:rPr>
                <w:rFonts w:hint="eastAsia" w:ascii="宋体" w:hAnsi="宋体"/>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分子生物学（一）</w:t>
            </w:r>
          </w:p>
        </w:tc>
        <w:tc>
          <w:tcPr>
            <w:tcW w:w="612" w:type="pct"/>
            <w:vAlign w:val="center"/>
          </w:tcPr>
          <w:p>
            <w:pPr>
              <w:jc w:val="center"/>
              <w:rPr>
                <w:rFonts w:ascii="宋体" w:hAnsi="宋体"/>
                <w:szCs w:val="21"/>
              </w:rPr>
            </w:pPr>
            <w:r>
              <w:rPr>
                <w:rFonts w:ascii="宋体" w:hAnsi="宋体"/>
                <w:szCs w:val="21"/>
              </w:rPr>
              <w:t>3</w:t>
            </w:r>
          </w:p>
        </w:tc>
        <w:tc>
          <w:tcPr>
            <w:tcW w:w="612" w:type="pct"/>
            <w:vAlign w:val="center"/>
          </w:tcPr>
          <w:p>
            <w:pPr>
              <w:jc w:val="center"/>
              <w:rPr>
                <w:rFonts w:ascii="宋体" w:hAnsi="宋体"/>
                <w:szCs w:val="21"/>
              </w:rPr>
            </w:pPr>
            <w:r>
              <w:rPr>
                <w:rFonts w:ascii="宋体" w:hAnsi="宋体"/>
                <w:szCs w:val="21"/>
              </w:rPr>
              <w:t>3</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6</w:t>
            </w:r>
          </w:p>
        </w:tc>
        <w:tc>
          <w:tcPr>
            <w:tcW w:w="1025" w:type="pct"/>
            <w:vAlign w:val="center"/>
          </w:tcPr>
          <w:p>
            <w:pPr>
              <w:rPr>
                <w:rFonts w:ascii="宋体" w:hAnsi="宋体"/>
                <w:szCs w:val="21"/>
              </w:rPr>
            </w:pPr>
            <w:r>
              <w:rPr>
                <w:rFonts w:hint="eastAsia" w:ascii="宋体" w:hAnsi="宋体"/>
                <w:szCs w:val="21"/>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kern w:val="0"/>
                <w:szCs w:val="21"/>
              </w:rPr>
            </w:pPr>
          </w:p>
        </w:tc>
        <w:tc>
          <w:tcPr>
            <w:tcW w:w="1199" w:type="pct"/>
            <w:vAlign w:val="center"/>
          </w:tcPr>
          <w:p>
            <w:pPr>
              <w:rPr>
                <w:rFonts w:ascii="宋体" w:hAnsi="宋体"/>
                <w:szCs w:val="21"/>
              </w:rPr>
            </w:pPr>
            <w:r>
              <w:rPr>
                <w:rFonts w:hint="eastAsia" w:ascii="宋体" w:hAnsi="宋体"/>
                <w:szCs w:val="21"/>
              </w:rPr>
              <w:t>分子生物学实验（一）</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6</w:t>
            </w:r>
          </w:p>
        </w:tc>
        <w:tc>
          <w:tcPr>
            <w:tcW w:w="1025" w:type="pct"/>
            <w:vAlign w:val="center"/>
          </w:tcPr>
          <w:p>
            <w:pPr>
              <w:rPr>
                <w:rFonts w:ascii="宋体" w:hAnsi="宋体"/>
                <w:szCs w:val="21"/>
              </w:rPr>
            </w:pPr>
            <w:r>
              <w:rPr>
                <w:rFonts w:hint="eastAsia" w:ascii="宋体" w:hAnsi="宋体"/>
                <w:szCs w:val="21"/>
              </w:rPr>
              <w:t>32学时</w:t>
            </w:r>
          </w:p>
        </w:tc>
      </w:tr>
    </w:tbl>
    <w:p>
      <w:pPr>
        <w:widowControl/>
        <w:spacing w:line="360" w:lineRule="auto"/>
        <w:rPr>
          <w:rFonts w:ascii="Times New Roman" w:hAnsi="Times New Roman" w:cs="宋体"/>
          <w:kern w:val="0"/>
          <w:sz w:val="24"/>
        </w:rPr>
      </w:pPr>
    </w:p>
    <w:p>
      <w:pPr>
        <w:widowControl/>
        <w:spacing w:line="360" w:lineRule="auto"/>
        <w:jc w:val="left"/>
        <w:rPr>
          <w:rFonts w:ascii="Times New Roman" w:hAnsi="Times New Roman" w:cs="宋体"/>
          <w:b/>
          <w:kern w:val="0"/>
          <w:sz w:val="24"/>
        </w:rPr>
      </w:pPr>
      <w:r>
        <w:rPr>
          <w:rFonts w:hint="eastAsia" w:ascii="Times New Roman" w:hAnsi="Times New Roman" w:cs="宋体"/>
          <w:b/>
          <w:kern w:val="0"/>
          <w:sz w:val="24"/>
        </w:rPr>
        <w:t>4</w:t>
      </w:r>
      <w:r>
        <w:rPr>
          <w:rFonts w:ascii="Times New Roman" w:hAnsi="Times New Roman" w:cs="宋体"/>
          <w:b/>
          <w:kern w:val="0"/>
          <w:sz w:val="24"/>
        </w:rPr>
        <w:t>.</w:t>
      </w:r>
      <w:r>
        <w:rPr>
          <w:rFonts w:hint="eastAsia" w:ascii="Times New Roman" w:hAnsi="Times New Roman" w:cs="宋体"/>
          <w:b/>
          <w:kern w:val="0"/>
          <w:sz w:val="24"/>
        </w:rPr>
        <w:t>专业核心课程（共</w:t>
      </w:r>
      <w:r>
        <w:rPr>
          <w:rFonts w:ascii="Times New Roman" w:hAnsi="Times New Roman" w:cs="宋体"/>
          <w:b/>
          <w:kern w:val="0"/>
          <w:sz w:val="24"/>
        </w:rPr>
        <w:t>11</w:t>
      </w:r>
      <w:r>
        <w:rPr>
          <w:rFonts w:hint="eastAsia" w:ascii="Times New Roman" w:hAnsi="Times New Roman" w:cs="宋体"/>
          <w:b/>
          <w:kern w:val="0"/>
          <w:sz w:val="24"/>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269"/>
        <w:gridCol w:w="1158"/>
        <w:gridCol w:w="1158"/>
        <w:gridCol w:w="115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kern w:val="0"/>
                <w:szCs w:val="21"/>
              </w:rPr>
            </w:pPr>
            <w:r>
              <w:rPr>
                <w:rFonts w:hint="eastAsia" w:ascii="宋体" w:hAnsi="宋体" w:cs="宋体"/>
                <w:b/>
                <w:kern w:val="0"/>
                <w:szCs w:val="21"/>
              </w:rPr>
              <w:t>课程代码</w:t>
            </w:r>
          </w:p>
        </w:tc>
        <w:tc>
          <w:tcPr>
            <w:tcW w:w="1199" w:type="pct"/>
          </w:tcPr>
          <w:p>
            <w:pPr>
              <w:widowControl/>
              <w:spacing w:line="360" w:lineRule="auto"/>
              <w:rPr>
                <w:rFonts w:ascii="宋体" w:hAnsi="宋体" w:cs="宋体"/>
                <w:b/>
                <w:kern w:val="0"/>
                <w:szCs w:val="21"/>
              </w:rPr>
            </w:pPr>
            <w:r>
              <w:rPr>
                <w:rFonts w:hint="eastAsia" w:ascii="宋体" w:hAnsi="宋体" w:cs="宋体"/>
                <w:b/>
                <w:kern w:val="0"/>
                <w:szCs w:val="21"/>
              </w:rPr>
              <w:t>课程名称</w:t>
            </w:r>
          </w:p>
        </w:tc>
        <w:tc>
          <w:tcPr>
            <w:tcW w:w="612" w:type="pct"/>
          </w:tcPr>
          <w:p>
            <w:pPr>
              <w:widowControl/>
              <w:spacing w:line="360" w:lineRule="auto"/>
              <w:rPr>
                <w:rFonts w:ascii="宋体" w:hAnsi="宋体" w:cs="宋体"/>
                <w:b/>
                <w:kern w:val="0"/>
                <w:szCs w:val="21"/>
              </w:rPr>
            </w:pPr>
            <w:r>
              <w:rPr>
                <w:rFonts w:hint="eastAsia" w:ascii="宋体" w:hAnsi="宋体" w:cs="宋体"/>
                <w:b/>
                <w:kern w:val="0"/>
                <w:szCs w:val="21"/>
              </w:rPr>
              <w:t>学分</w:t>
            </w:r>
          </w:p>
        </w:tc>
        <w:tc>
          <w:tcPr>
            <w:tcW w:w="612" w:type="pct"/>
          </w:tcPr>
          <w:p>
            <w:pPr>
              <w:widowControl/>
              <w:spacing w:line="360" w:lineRule="auto"/>
              <w:rPr>
                <w:rFonts w:ascii="宋体" w:hAnsi="宋体" w:cs="宋体"/>
                <w:b/>
                <w:kern w:val="0"/>
                <w:szCs w:val="21"/>
              </w:rPr>
            </w:pPr>
            <w:r>
              <w:rPr>
                <w:rFonts w:hint="eastAsia" w:ascii="宋体" w:hAnsi="宋体" w:cs="宋体"/>
                <w:b/>
                <w:kern w:val="0"/>
                <w:szCs w:val="21"/>
              </w:rPr>
              <w:t>周学时</w:t>
            </w:r>
          </w:p>
        </w:tc>
        <w:tc>
          <w:tcPr>
            <w:tcW w:w="612" w:type="pct"/>
          </w:tcPr>
          <w:p>
            <w:pPr>
              <w:widowControl/>
              <w:spacing w:line="360" w:lineRule="auto"/>
              <w:rPr>
                <w:rFonts w:ascii="宋体" w:hAnsi="宋体" w:cs="宋体"/>
                <w:b/>
                <w:kern w:val="0"/>
                <w:szCs w:val="21"/>
              </w:rPr>
            </w:pPr>
            <w:r>
              <w:rPr>
                <w:rFonts w:hint="eastAsia" w:ascii="宋体" w:hAnsi="宋体" w:cs="宋体"/>
                <w:b/>
                <w:kern w:val="0"/>
                <w:szCs w:val="21"/>
              </w:rPr>
              <w:t>学期</w:t>
            </w:r>
          </w:p>
        </w:tc>
        <w:tc>
          <w:tcPr>
            <w:tcW w:w="1025" w:type="pct"/>
          </w:tcPr>
          <w:p>
            <w:pPr>
              <w:widowControl/>
              <w:spacing w:line="360" w:lineRule="auto"/>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kern w:val="0"/>
                <w:szCs w:val="21"/>
              </w:rPr>
            </w:pPr>
          </w:p>
        </w:tc>
        <w:tc>
          <w:tcPr>
            <w:tcW w:w="1199" w:type="pct"/>
            <w:vAlign w:val="center"/>
          </w:tcPr>
          <w:p>
            <w:pPr>
              <w:rPr>
                <w:rFonts w:ascii="宋体" w:hAnsi="宋体"/>
                <w:szCs w:val="21"/>
              </w:rPr>
            </w:pPr>
            <w:r>
              <w:rPr>
                <w:rFonts w:hint="eastAsia" w:ascii="宋体" w:hAnsi="宋体"/>
                <w:szCs w:val="21"/>
              </w:rPr>
              <w:t>药事管理</w:t>
            </w:r>
          </w:p>
        </w:tc>
        <w:tc>
          <w:tcPr>
            <w:tcW w:w="612"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3</w:t>
            </w:r>
          </w:p>
        </w:tc>
        <w:tc>
          <w:tcPr>
            <w:tcW w:w="1025" w:type="pct"/>
            <w:vAlign w:val="center"/>
          </w:tcPr>
          <w:p>
            <w:pPr>
              <w:widowControl/>
              <w:rPr>
                <w:rFonts w:ascii="宋体" w:hAnsi="宋体" w:cs="宋体"/>
                <w:kern w:val="0"/>
                <w:szCs w:val="21"/>
              </w:rPr>
            </w:pPr>
            <w:r>
              <w:rPr>
                <w:rFonts w:hint="eastAsia" w:ascii="宋体" w:hAnsi="宋体" w:cs="宋体"/>
                <w:kern w:val="0"/>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kern w:val="0"/>
                <w:szCs w:val="21"/>
              </w:rPr>
            </w:pPr>
          </w:p>
        </w:tc>
        <w:tc>
          <w:tcPr>
            <w:tcW w:w="1199" w:type="pct"/>
            <w:vAlign w:val="center"/>
          </w:tcPr>
          <w:p>
            <w:pPr>
              <w:rPr>
                <w:rFonts w:ascii="宋体" w:hAnsi="宋体"/>
                <w:szCs w:val="21"/>
              </w:rPr>
            </w:pPr>
            <w:r>
              <w:rPr>
                <w:rFonts w:hint="eastAsia" w:ascii="宋体" w:hAnsi="宋体"/>
                <w:szCs w:val="21"/>
              </w:rPr>
              <w:t>药理学</w:t>
            </w:r>
          </w:p>
        </w:tc>
        <w:tc>
          <w:tcPr>
            <w:tcW w:w="612"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4</w:t>
            </w:r>
          </w:p>
        </w:tc>
        <w:tc>
          <w:tcPr>
            <w:tcW w:w="1025" w:type="pct"/>
            <w:vAlign w:val="center"/>
          </w:tcPr>
          <w:p>
            <w:pPr>
              <w:widowControl/>
              <w:rPr>
                <w:rFonts w:ascii="宋体" w:hAnsi="宋体" w:cs="宋体"/>
                <w:kern w:val="0"/>
                <w:szCs w:val="21"/>
              </w:rPr>
            </w:pPr>
            <w:r>
              <w:rPr>
                <w:rFonts w:hint="eastAsia" w:ascii="宋体" w:hAnsi="宋体" w:cs="宋体"/>
                <w:kern w:val="0"/>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kern w:val="0"/>
                <w:szCs w:val="21"/>
              </w:rPr>
            </w:pPr>
          </w:p>
        </w:tc>
        <w:tc>
          <w:tcPr>
            <w:tcW w:w="1199" w:type="pct"/>
            <w:vAlign w:val="center"/>
          </w:tcPr>
          <w:p>
            <w:pPr>
              <w:rPr>
                <w:rFonts w:ascii="宋体" w:hAnsi="宋体"/>
                <w:szCs w:val="21"/>
              </w:rPr>
            </w:pPr>
            <w:r>
              <w:rPr>
                <w:rFonts w:hint="eastAsia" w:ascii="宋体" w:hAnsi="宋体"/>
                <w:szCs w:val="21"/>
              </w:rPr>
              <w:t>药物分析</w:t>
            </w:r>
          </w:p>
        </w:tc>
        <w:tc>
          <w:tcPr>
            <w:tcW w:w="612"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5</w:t>
            </w:r>
          </w:p>
        </w:tc>
        <w:tc>
          <w:tcPr>
            <w:tcW w:w="1025" w:type="pct"/>
            <w:vAlign w:val="center"/>
          </w:tcPr>
          <w:p>
            <w:pPr>
              <w:widowControl/>
              <w:rPr>
                <w:rFonts w:ascii="宋体" w:hAnsi="宋体" w:cs="宋体"/>
                <w:kern w:val="0"/>
                <w:szCs w:val="21"/>
              </w:rPr>
            </w:pPr>
            <w:r>
              <w:rPr>
                <w:rFonts w:hint="eastAsia" w:ascii="宋体" w:hAnsi="宋体" w:cs="宋体"/>
                <w:kern w:val="0"/>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kern w:val="0"/>
                <w:szCs w:val="21"/>
              </w:rPr>
            </w:pPr>
          </w:p>
        </w:tc>
        <w:tc>
          <w:tcPr>
            <w:tcW w:w="1199" w:type="pct"/>
            <w:vAlign w:val="center"/>
          </w:tcPr>
          <w:p>
            <w:pPr>
              <w:rPr>
                <w:rFonts w:ascii="宋体" w:hAnsi="宋体"/>
                <w:szCs w:val="21"/>
              </w:rPr>
            </w:pPr>
            <w:r>
              <w:rPr>
                <w:rFonts w:hint="eastAsia" w:ascii="宋体" w:hAnsi="宋体"/>
                <w:szCs w:val="21"/>
              </w:rPr>
              <w:t>药剂学</w:t>
            </w:r>
          </w:p>
        </w:tc>
        <w:tc>
          <w:tcPr>
            <w:tcW w:w="612" w:type="pct"/>
            <w:vAlign w:val="center"/>
          </w:tcPr>
          <w:p>
            <w:pPr>
              <w:jc w:val="center"/>
              <w:rPr>
                <w:rFonts w:ascii="宋体" w:hAnsi="宋体"/>
                <w:szCs w:val="21"/>
              </w:rPr>
            </w:pPr>
            <w:r>
              <w:rPr>
                <w:rFonts w:ascii="宋体" w:hAnsi="宋体"/>
                <w:szCs w:val="21"/>
              </w:rPr>
              <w:t>2.5</w:t>
            </w:r>
          </w:p>
        </w:tc>
        <w:tc>
          <w:tcPr>
            <w:tcW w:w="612" w:type="pct"/>
            <w:vAlign w:val="center"/>
          </w:tcPr>
          <w:p>
            <w:pPr>
              <w:jc w:val="center"/>
              <w:rPr>
                <w:rFonts w:ascii="宋体" w:hAnsi="宋体"/>
                <w:szCs w:val="21"/>
              </w:rPr>
            </w:pPr>
            <w:r>
              <w:rPr>
                <w:rFonts w:ascii="宋体" w:hAnsi="宋体"/>
                <w:szCs w:val="21"/>
              </w:rPr>
              <w:t>2.5</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5</w:t>
            </w:r>
          </w:p>
        </w:tc>
        <w:tc>
          <w:tcPr>
            <w:tcW w:w="1025" w:type="pct"/>
            <w:vAlign w:val="center"/>
          </w:tcPr>
          <w:p>
            <w:pPr>
              <w:widowControl/>
              <w:rPr>
                <w:rFonts w:ascii="宋体" w:hAnsi="宋体" w:cs="宋体"/>
                <w:kern w:val="0"/>
                <w:szCs w:val="21"/>
              </w:rPr>
            </w:pPr>
            <w:r>
              <w:rPr>
                <w:rFonts w:ascii="宋体" w:hAnsi="宋体" w:cs="宋体"/>
                <w:kern w:val="0"/>
                <w:szCs w:val="21"/>
              </w:rPr>
              <w:t>40</w:t>
            </w:r>
            <w:r>
              <w:rPr>
                <w:rFonts w:hint="eastAsia" w:ascii="宋体" w:hAnsi="宋体" w:cs="宋体"/>
                <w:kern w:val="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40" w:type="pct"/>
            <w:vAlign w:val="center"/>
          </w:tcPr>
          <w:p>
            <w:pPr>
              <w:widowControl/>
              <w:spacing w:line="360" w:lineRule="auto"/>
              <w:rPr>
                <w:rFonts w:ascii="宋体" w:hAnsi="宋体"/>
                <w:kern w:val="0"/>
                <w:szCs w:val="21"/>
              </w:rPr>
            </w:pPr>
          </w:p>
        </w:tc>
        <w:tc>
          <w:tcPr>
            <w:tcW w:w="1199" w:type="pct"/>
            <w:vAlign w:val="center"/>
          </w:tcPr>
          <w:p>
            <w:pPr>
              <w:rPr>
                <w:rFonts w:ascii="宋体" w:hAnsi="宋体"/>
                <w:szCs w:val="21"/>
              </w:rPr>
            </w:pPr>
            <w:r>
              <w:rPr>
                <w:rFonts w:hint="eastAsia" w:ascii="宋体" w:hAnsi="宋体"/>
                <w:szCs w:val="21"/>
              </w:rPr>
              <w:t>药物化学</w:t>
            </w:r>
          </w:p>
        </w:tc>
        <w:tc>
          <w:tcPr>
            <w:tcW w:w="612" w:type="pct"/>
            <w:vAlign w:val="center"/>
          </w:tcPr>
          <w:p>
            <w:pPr>
              <w:jc w:val="center"/>
              <w:rPr>
                <w:rFonts w:ascii="宋体" w:hAnsi="宋体"/>
                <w:szCs w:val="21"/>
              </w:rPr>
            </w:pPr>
            <w:r>
              <w:rPr>
                <w:rFonts w:ascii="宋体" w:hAnsi="宋体"/>
                <w:szCs w:val="21"/>
              </w:rPr>
              <w:t>2.5</w:t>
            </w:r>
          </w:p>
        </w:tc>
        <w:tc>
          <w:tcPr>
            <w:tcW w:w="612" w:type="pct"/>
            <w:vAlign w:val="center"/>
          </w:tcPr>
          <w:p>
            <w:pPr>
              <w:jc w:val="center"/>
              <w:rPr>
                <w:rFonts w:ascii="宋体" w:hAnsi="宋体"/>
                <w:szCs w:val="21"/>
              </w:rPr>
            </w:pPr>
            <w:r>
              <w:rPr>
                <w:rFonts w:ascii="宋体" w:hAnsi="宋体"/>
                <w:szCs w:val="21"/>
              </w:rPr>
              <w:t>2.5</w:t>
            </w:r>
          </w:p>
        </w:tc>
        <w:tc>
          <w:tcPr>
            <w:tcW w:w="612" w:type="pct"/>
            <w:vAlign w:val="center"/>
          </w:tcPr>
          <w:p>
            <w:pPr>
              <w:widowControl/>
              <w:jc w:val="center"/>
              <w:rPr>
                <w:rFonts w:ascii="宋体" w:hAnsi="宋体" w:cs="宋体"/>
                <w:kern w:val="0"/>
                <w:szCs w:val="21"/>
              </w:rPr>
            </w:pPr>
            <w:r>
              <w:rPr>
                <w:rFonts w:hint="eastAsia" w:ascii="宋体" w:hAnsi="宋体" w:cs="宋体"/>
                <w:kern w:val="0"/>
                <w:szCs w:val="21"/>
              </w:rPr>
              <w:t>6</w:t>
            </w:r>
          </w:p>
        </w:tc>
        <w:tc>
          <w:tcPr>
            <w:tcW w:w="1025" w:type="pct"/>
            <w:vAlign w:val="center"/>
          </w:tcPr>
          <w:p>
            <w:pPr>
              <w:widowControl/>
              <w:rPr>
                <w:rFonts w:ascii="宋体" w:hAnsi="宋体" w:cs="宋体"/>
                <w:kern w:val="0"/>
                <w:szCs w:val="21"/>
              </w:rPr>
            </w:pPr>
            <w:r>
              <w:rPr>
                <w:rFonts w:ascii="宋体" w:hAnsi="宋体" w:cs="宋体"/>
                <w:kern w:val="0"/>
                <w:szCs w:val="21"/>
              </w:rPr>
              <w:t>40</w:t>
            </w:r>
            <w:r>
              <w:rPr>
                <w:rFonts w:hint="eastAsia" w:ascii="宋体" w:hAnsi="宋体" w:cs="宋体"/>
                <w:kern w:val="0"/>
                <w:szCs w:val="21"/>
              </w:rPr>
              <w:t>学时</w:t>
            </w:r>
          </w:p>
        </w:tc>
      </w:tr>
    </w:tbl>
    <w:p>
      <w:pPr>
        <w:widowControl/>
        <w:spacing w:line="360" w:lineRule="auto"/>
        <w:rPr>
          <w:rFonts w:ascii="Times New Roman" w:hAnsi="Times New Roman" w:cs="宋体"/>
          <w:kern w:val="0"/>
          <w:sz w:val="24"/>
        </w:rPr>
      </w:pPr>
    </w:p>
    <w:p>
      <w:pPr>
        <w:widowControl/>
        <w:spacing w:before="120" w:beforeLines="50" w:after="120" w:afterLines="50" w:line="288" w:lineRule="auto"/>
        <w:rPr>
          <w:rFonts w:ascii="宋体" w:hAnsi="宋体" w:cs="宋体"/>
          <w:b/>
          <w:kern w:val="0"/>
          <w:sz w:val="24"/>
        </w:rPr>
      </w:pPr>
      <w:r>
        <w:rPr>
          <w:rFonts w:hint="eastAsia" w:ascii="宋体" w:hAnsi="宋体" w:cs="宋体"/>
          <w:b/>
          <w:kern w:val="0"/>
          <w:sz w:val="24"/>
        </w:rPr>
        <w:t>5</w:t>
      </w:r>
      <w:r>
        <w:rPr>
          <w:rFonts w:ascii="宋体" w:hAnsi="宋体" w:cs="宋体"/>
          <w:b/>
          <w:kern w:val="0"/>
          <w:sz w:val="24"/>
        </w:rPr>
        <w:t>.</w:t>
      </w:r>
      <w:r>
        <w:rPr>
          <w:rFonts w:hint="eastAsia" w:ascii="宋体" w:hAnsi="宋体" w:cs="宋体"/>
          <w:b/>
          <w:kern w:val="0"/>
          <w:sz w:val="24"/>
        </w:rPr>
        <w:t>专业选修课程（共</w:t>
      </w:r>
      <w:r>
        <w:rPr>
          <w:rFonts w:ascii="宋体" w:hAnsi="宋体" w:cs="宋体"/>
          <w:b/>
          <w:color w:val="FF0000"/>
          <w:kern w:val="0"/>
          <w:sz w:val="24"/>
        </w:rPr>
        <w:t>17</w:t>
      </w:r>
      <w:r>
        <w:rPr>
          <w:rFonts w:hint="eastAsia" w:ascii="宋体" w:hAnsi="宋体" w:cs="宋体"/>
          <w:b/>
          <w:kern w:val="0"/>
          <w:sz w:val="24"/>
        </w:rPr>
        <w:t>学分，*为限制性选修课程）</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371"/>
        <w:gridCol w:w="1132"/>
        <w:gridCol w:w="1012"/>
        <w:gridCol w:w="983"/>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b/>
                <w:kern w:val="0"/>
                <w:szCs w:val="21"/>
              </w:rPr>
            </w:pPr>
            <w:r>
              <w:rPr>
                <w:rFonts w:hint="eastAsia" w:ascii="宋体" w:hAnsi="宋体" w:cs="宋体"/>
                <w:b/>
                <w:kern w:val="0"/>
                <w:szCs w:val="21"/>
              </w:rPr>
              <w:t>课程代码</w:t>
            </w:r>
          </w:p>
        </w:tc>
        <w:tc>
          <w:tcPr>
            <w:tcW w:w="1253" w:type="pct"/>
            <w:vAlign w:val="center"/>
          </w:tcPr>
          <w:p>
            <w:pPr>
              <w:widowControl/>
              <w:spacing w:line="360" w:lineRule="auto"/>
              <w:rPr>
                <w:rFonts w:ascii="宋体" w:hAnsi="宋体" w:cs="宋体"/>
                <w:b/>
                <w:kern w:val="0"/>
                <w:szCs w:val="21"/>
              </w:rPr>
            </w:pPr>
            <w:r>
              <w:rPr>
                <w:rFonts w:hint="eastAsia" w:ascii="宋体" w:hAnsi="宋体" w:cs="宋体"/>
                <w:b/>
                <w:kern w:val="0"/>
                <w:szCs w:val="21"/>
              </w:rPr>
              <w:t>课程名称</w:t>
            </w:r>
          </w:p>
        </w:tc>
        <w:tc>
          <w:tcPr>
            <w:tcW w:w="598" w:type="pct"/>
            <w:vAlign w:val="center"/>
          </w:tcPr>
          <w:p>
            <w:pPr>
              <w:widowControl/>
              <w:spacing w:line="360" w:lineRule="auto"/>
              <w:rPr>
                <w:rFonts w:ascii="宋体" w:hAnsi="宋体" w:cs="宋体"/>
                <w:b/>
                <w:kern w:val="0"/>
                <w:szCs w:val="21"/>
              </w:rPr>
            </w:pPr>
            <w:r>
              <w:rPr>
                <w:rFonts w:hint="eastAsia" w:ascii="宋体" w:hAnsi="宋体" w:cs="宋体"/>
                <w:b/>
                <w:kern w:val="0"/>
                <w:szCs w:val="21"/>
              </w:rPr>
              <w:t>学分</w:t>
            </w:r>
          </w:p>
        </w:tc>
        <w:tc>
          <w:tcPr>
            <w:tcW w:w="534" w:type="pct"/>
            <w:vAlign w:val="center"/>
          </w:tcPr>
          <w:p>
            <w:pPr>
              <w:widowControl/>
              <w:spacing w:line="360" w:lineRule="auto"/>
              <w:rPr>
                <w:rFonts w:ascii="宋体" w:hAnsi="宋体" w:cs="宋体"/>
                <w:b/>
                <w:kern w:val="0"/>
                <w:szCs w:val="21"/>
              </w:rPr>
            </w:pPr>
            <w:r>
              <w:rPr>
                <w:rFonts w:hint="eastAsia" w:ascii="宋体" w:hAnsi="宋体" w:cs="宋体"/>
                <w:b/>
                <w:kern w:val="0"/>
                <w:szCs w:val="21"/>
              </w:rPr>
              <w:t>周学时</w:t>
            </w:r>
          </w:p>
        </w:tc>
        <w:tc>
          <w:tcPr>
            <w:tcW w:w="519" w:type="pct"/>
            <w:vAlign w:val="center"/>
          </w:tcPr>
          <w:p>
            <w:pPr>
              <w:widowControl/>
              <w:spacing w:line="360" w:lineRule="auto"/>
              <w:rPr>
                <w:rFonts w:ascii="宋体" w:hAnsi="宋体" w:cs="宋体"/>
                <w:b/>
                <w:kern w:val="0"/>
                <w:szCs w:val="21"/>
              </w:rPr>
            </w:pPr>
            <w:r>
              <w:rPr>
                <w:rFonts w:hint="eastAsia" w:ascii="宋体" w:hAnsi="宋体" w:cs="宋体"/>
                <w:b/>
                <w:kern w:val="0"/>
                <w:szCs w:val="21"/>
              </w:rPr>
              <w:t>学期</w:t>
            </w:r>
          </w:p>
        </w:tc>
        <w:tc>
          <w:tcPr>
            <w:tcW w:w="1346" w:type="pct"/>
            <w:vAlign w:val="center"/>
          </w:tcPr>
          <w:p>
            <w:pPr>
              <w:widowControl/>
              <w:spacing w:line="360" w:lineRule="auto"/>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大学英语(三)或高级英语（一）</w:t>
            </w:r>
          </w:p>
        </w:tc>
        <w:tc>
          <w:tcPr>
            <w:tcW w:w="598" w:type="pct"/>
            <w:vAlign w:val="center"/>
          </w:tcPr>
          <w:p>
            <w:pPr>
              <w:jc w:val="center"/>
              <w:rPr>
                <w:rFonts w:ascii="宋体" w:hAnsi="宋体"/>
                <w:szCs w:val="21"/>
              </w:rPr>
            </w:pPr>
            <w:r>
              <w:rPr>
                <w:rFonts w:ascii="宋体" w:hAnsi="宋体"/>
                <w:szCs w:val="21"/>
              </w:rPr>
              <w:t>2</w:t>
            </w:r>
          </w:p>
        </w:tc>
        <w:tc>
          <w:tcPr>
            <w:tcW w:w="534"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346" w:type="pct"/>
            <w:vAlign w:val="center"/>
          </w:tcPr>
          <w:p>
            <w:pPr>
              <w:rPr>
                <w:rFonts w:ascii="宋体" w:hAnsi="宋体"/>
                <w:szCs w:val="21"/>
              </w:rPr>
            </w:pPr>
            <w:r>
              <w:rPr>
                <w:rFonts w:hint="eastAsia" w:ascii="宋体" w:hAnsi="宋体"/>
                <w:szCs w:val="21"/>
              </w:rPr>
              <w:t>32学时，若未达免修条件，则需继续修读英语（三），如已达免修条件，鼓励修读高级英语（一）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大学英语(四)或高级英语（二）</w:t>
            </w:r>
          </w:p>
        </w:tc>
        <w:tc>
          <w:tcPr>
            <w:tcW w:w="598" w:type="pct"/>
            <w:vAlign w:val="center"/>
          </w:tcPr>
          <w:p>
            <w:pPr>
              <w:jc w:val="center"/>
              <w:rPr>
                <w:rFonts w:ascii="宋体" w:hAnsi="宋体"/>
                <w:szCs w:val="21"/>
              </w:rPr>
            </w:pPr>
            <w:r>
              <w:rPr>
                <w:rFonts w:ascii="宋体" w:hAnsi="宋体"/>
                <w:szCs w:val="21"/>
              </w:rPr>
              <w:t>2</w:t>
            </w:r>
          </w:p>
        </w:tc>
        <w:tc>
          <w:tcPr>
            <w:tcW w:w="534"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519" w:type="pct"/>
            <w:vAlign w:val="center"/>
          </w:tcPr>
          <w:p>
            <w:pPr>
              <w:widowControl/>
              <w:spacing w:line="360" w:lineRule="auto"/>
              <w:jc w:val="center"/>
              <w:rPr>
                <w:rFonts w:ascii="宋体" w:hAnsi="宋体" w:cs="宋体"/>
                <w:kern w:val="0"/>
                <w:szCs w:val="21"/>
              </w:rPr>
            </w:pPr>
            <w:r>
              <w:rPr>
                <w:rFonts w:ascii="宋体" w:hAnsi="宋体" w:cs="宋体"/>
                <w:kern w:val="0"/>
                <w:szCs w:val="21"/>
              </w:rPr>
              <w:t>4</w:t>
            </w:r>
          </w:p>
        </w:tc>
        <w:tc>
          <w:tcPr>
            <w:tcW w:w="1346" w:type="pct"/>
            <w:vAlign w:val="center"/>
          </w:tcPr>
          <w:p>
            <w:pPr>
              <w:rPr>
                <w:rFonts w:ascii="宋体" w:hAnsi="宋体"/>
                <w:szCs w:val="21"/>
              </w:rPr>
            </w:pPr>
            <w:r>
              <w:rPr>
                <w:rFonts w:hint="eastAsia" w:ascii="宋体" w:hAnsi="宋体"/>
                <w:szCs w:val="21"/>
              </w:rPr>
              <w:t>32学时，若未达免修条件，则需继续修读英语（四），如已达免修条件，鼓励修读高级英语（二）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*人体解剖生理学</w:t>
            </w:r>
          </w:p>
        </w:tc>
        <w:tc>
          <w:tcPr>
            <w:tcW w:w="598" w:type="pct"/>
            <w:vAlign w:val="center"/>
          </w:tcPr>
          <w:p>
            <w:pPr>
              <w:jc w:val="center"/>
              <w:rPr>
                <w:rFonts w:ascii="宋体" w:hAnsi="宋体"/>
                <w:szCs w:val="21"/>
              </w:rPr>
            </w:pPr>
            <w:r>
              <w:rPr>
                <w:rFonts w:ascii="宋体" w:hAnsi="宋体"/>
                <w:szCs w:val="21"/>
              </w:rPr>
              <w:t>2</w:t>
            </w:r>
          </w:p>
        </w:tc>
        <w:tc>
          <w:tcPr>
            <w:tcW w:w="534" w:type="pct"/>
            <w:vAlign w:val="center"/>
          </w:tcPr>
          <w:p>
            <w:pPr>
              <w:jc w:val="center"/>
              <w:rPr>
                <w:rFonts w:ascii="宋体" w:hAnsi="宋体"/>
                <w:szCs w:val="21"/>
              </w:rPr>
            </w:pPr>
            <w:r>
              <w:rPr>
                <w:rFonts w:ascii="宋体" w:hAnsi="宋体"/>
                <w:szCs w:val="21"/>
              </w:rPr>
              <w:t>2</w:t>
            </w:r>
          </w:p>
        </w:tc>
        <w:tc>
          <w:tcPr>
            <w:tcW w:w="519" w:type="pct"/>
            <w:vAlign w:val="center"/>
          </w:tcPr>
          <w:p>
            <w:pPr>
              <w:widowControl/>
              <w:spacing w:line="360" w:lineRule="auto"/>
              <w:jc w:val="center"/>
              <w:rPr>
                <w:rFonts w:ascii="宋体" w:hAnsi="宋体" w:cs="宋体"/>
                <w:kern w:val="0"/>
                <w:szCs w:val="21"/>
              </w:rPr>
            </w:pPr>
            <w:r>
              <w:rPr>
                <w:rFonts w:ascii="宋体" w:hAnsi="宋体" w:cs="宋体"/>
                <w:color w:val="FF0000"/>
                <w:kern w:val="0"/>
                <w:szCs w:val="21"/>
              </w:rPr>
              <w:t>1</w:t>
            </w:r>
          </w:p>
        </w:tc>
        <w:tc>
          <w:tcPr>
            <w:tcW w:w="1346" w:type="pct"/>
            <w:vAlign w:val="center"/>
          </w:tcPr>
          <w:p>
            <w:pPr>
              <w:rPr>
                <w:rFonts w:ascii="宋体" w:hAnsi="宋体"/>
                <w:szCs w:val="21"/>
              </w:rPr>
            </w:pPr>
            <w:r>
              <w:rPr>
                <w:rFonts w:ascii="宋体" w:hAnsi="宋体"/>
                <w:szCs w:val="21"/>
              </w:rPr>
              <w:t>32</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*药学英语（全英文）</w:t>
            </w:r>
          </w:p>
        </w:tc>
        <w:tc>
          <w:tcPr>
            <w:tcW w:w="598" w:type="pct"/>
            <w:vAlign w:val="center"/>
          </w:tcPr>
          <w:p>
            <w:pPr>
              <w:jc w:val="center"/>
              <w:rPr>
                <w:rFonts w:ascii="宋体" w:hAnsi="宋体"/>
                <w:szCs w:val="21"/>
              </w:rPr>
            </w:pPr>
            <w:r>
              <w:rPr>
                <w:rFonts w:ascii="宋体" w:hAnsi="宋体"/>
                <w:szCs w:val="21"/>
              </w:rPr>
              <w:t>1.5</w:t>
            </w:r>
          </w:p>
        </w:tc>
        <w:tc>
          <w:tcPr>
            <w:tcW w:w="534" w:type="pct"/>
            <w:vAlign w:val="center"/>
          </w:tcPr>
          <w:p>
            <w:pPr>
              <w:jc w:val="center"/>
              <w:rPr>
                <w:rFonts w:ascii="宋体" w:hAnsi="宋体"/>
                <w:szCs w:val="21"/>
              </w:rPr>
            </w:pPr>
            <w:r>
              <w:rPr>
                <w:rFonts w:ascii="宋体" w:hAnsi="宋体"/>
                <w:szCs w:val="21"/>
              </w:rPr>
              <w:t>1.5</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346" w:type="pct"/>
            <w:vAlign w:val="center"/>
          </w:tcPr>
          <w:p>
            <w:pPr>
              <w:rPr>
                <w:rFonts w:ascii="宋体" w:hAnsi="宋体"/>
                <w:szCs w:val="21"/>
              </w:rPr>
            </w:pPr>
            <w:r>
              <w:rPr>
                <w:rFonts w:hint="eastAsia" w:ascii="宋体" w:hAnsi="宋体"/>
                <w:szCs w:val="21"/>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*药物合成反应</w:t>
            </w:r>
          </w:p>
        </w:tc>
        <w:tc>
          <w:tcPr>
            <w:tcW w:w="598" w:type="pct"/>
            <w:vAlign w:val="center"/>
          </w:tcPr>
          <w:p>
            <w:pPr>
              <w:jc w:val="center"/>
              <w:rPr>
                <w:rFonts w:ascii="宋体" w:hAnsi="宋体"/>
                <w:szCs w:val="21"/>
              </w:rPr>
            </w:pPr>
            <w:r>
              <w:rPr>
                <w:rFonts w:ascii="宋体" w:hAnsi="宋体"/>
                <w:szCs w:val="21"/>
              </w:rPr>
              <w:t>2.5</w:t>
            </w:r>
          </w:p>
        </w:tc>
        <w:tc>
          <w:tcPr>
            <w:tcW w:w="534" w:type="pct"/>
            <w:vAlign w:val="center"/>
          </w:tcPr>
          <w:p>
            <w:pPr>
              <w:jc w:val="center"/>
              <w:rPr>
                <w:rFonts w:ascii="宋体" w:hAnsi="宋体"/>
                <w:szCs w:val="21"/>
              </w:rPr>
            </w:pPr>
            <w:r>
              <w:rPr>
                <w:rFonts w:ascii="宋体" w:hAnsi="宋体"/>
                <w:szCs w:val="21"/>
              </w:rPr>
              <w:t>2.5</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346" w:type="pct"/>
            <w:vAlign w:val="center"/>
          </w:tcPr>
          <w:p>
            <w:pPr>
              <w:rPr>
                <w:rFonts w:ascii="宋体" w:hAnsi="宋体"/>
                <w:szCs w:val="21"/>
              </w:rPr>
            </w:pPr>
            <w:r>
              <w:rPr>
                <w:rFonts w:ascii="宋体" w:hAnsi="宋体"/>
                <w:szCs w:val="21"/>
              </w:rPr>
              <w:t>40</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*色谱与波谱分析</w:t>
            </w:r>
          </w:p>
        </w:tc>
        <w:tc>
          <w:tcPr>
            <w:tcW w:w="598" w:type="pct"/>
            <w:vAlign w:val="center"/>
          </w:tcPr>
          <w:p>
            <w:pPr>
              <w:jc w:val="center"/>
              <w:rPr>
                <w:rFonts w:ascii="宋体" w:hAnsi="宋体"/>
                <w:szCs w:val="21"/>
              </w:rPr>
            </w:pPr>
            <w:r>
              <w:rPr>
                <w:rFonts w:ascii="宋体" w:hAnsi="宋体"/>
                <w:szCs w:val="21"/>
              </w:rPr>
              <w:t>2.5</w:t>
            </w:r>
          </w:p>
        </w:tc>
        <w:tc>
          <w:tcPr>
            <w:tcW w:w="534" w:type="pct"/>
            <w:vAlign w:val="center"/>
          </w:tcPr>
          <w:p>
            <w:pPr>
              <w:jc w:val="center"/>
              <w:rPr>
                <w:rFonts w:ascii="宋体" w:hAnsi="宋体"/>
                <w:szCs w:val="21"/>
              </w:rPr>
            </w:pPr>
            <w:r>
              <w:rPr>
                <w:rFonts w:ascii="宋体" w:hAnsi="宋体"/>
                <w:szCs w:val="21"/>
              </w:rPr>
              <w:t>2.5</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346" w:type="pct"/>
            <w:vAlign w:val="center"/>
          </w:tcPr>
          <w:p>
            <w:pPr>
              <w:rPr>
                <w:rFonts w:ascii="宋体" w:hAnsi="宋体"/>
                <w:szCs w:val="21"/>
              </w:rPr>
            </w:pPr>
            <w:r>
              <w:rPr>
                <w:rFonts w:ascii="宋体" w:hAnsi="宋体"/>
                <w:szCs w:val="21"/>
              </w:rPr>
              <w:t>40</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*天然药物化学</w:t>
            </w:r>
          </w:p>
        </w:tc>
        <w:tc>
          <w:tcPr>
            <w:tcW w:w="598" w:type="pct"/>
            <w:vAlign w:val="center"/>
          </w:tcPr>
          <w:p>
            <w:pPr>
              <w:jc w:val="center"/>
              <w:rPr>
                <w:rFonts w:ascii="宋体" w:hAnsi="宋体"/>
                <w:szCs w:val="21"/>
              </w:rPr>
            </w:pPr>
            <w:r>
              <w:rPr>
                <w:rFonts w:ascii="宋体" w:hAnsi="宋体"/>
                <w:szCs w:val="21"/>
              </w:rPr>
              <w:t>2</w:t>
            </w:r>
          </w:p>
        </w:tc>
        <w:tc>
          <w:tcPr>
            <w:tcW w:w="534" w:type="pct"/>
            <w:vAlign w:val="center"/>
          </w:tcPr>
          <w:p>
            <w:pPr>
              <w:jc w:val="center"/>
              <w:rPr>
                <w:rFonts w:ascii="宋体" w:hAnsi="宋体"/>
                <w:szCs w:val="21"/>
              </w:rPr>
            </w:pPr>
            <w:r>
              <w:rPr>
                <w:rFonts w:ascii="宋体" w:hAnsi="宋体"/>
                <w:szCs w:val="21"/>
              </w:rPr>
              <w:t>2</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346" w:type="pct"/>
            <w:vAlign w:val="center"/>
          </w:tcPr>
          <w:p>
            <w:pPr>
              <w:rPr>
                <w:rFonts w:ascii="宋体" w:hAnsi="宋体"/>
                <w:szCs w:val="21"/>
              </w:rPr>
            </w:pPr>
            <w:r>
              <w:rPr>
                <w:rFonts w:ascii="宋体" w:hAnsi="宋体"/>
                <w:szCs w:val="21"/>
              </w:rPr>
              <w:t>32</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病理生理学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细胞生物学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ascii="宋体" w:hAnsi="宋体" w:cs="宋体"/>
                <w:color w:val="FF0000"/>
                <w:kern w:val="0"/>
                <w:szCs w:val="21"/>
              </w:rPr>
              <w:t>2</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组织与胚胎学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ascii="宋体" w:hAnsi="宋体" w:cs="宋体"/>
                <w:color w:val="FF0000"/>
                <w:kern w:val="0"/>
                <w:szCs w:val="21"/>
              </w:rPr>
              <w:t>3</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医学免疫学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ascii="宋体" w:hAnsi="宋体" w:cs="宋体"/>
                <w:color w:val="FF0000"/>
                <w:kern w:val="0"/>
                <w:szCs w:val="21"/>
              </w:rPr>
              <w:t>4</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医学统计学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48" w:type="pct"/>
            <w:vAlign w:val="center"/>
          </w:tcPr>
          <w:p>
            <w:pPr>
              <w:widowControl/>
              <w:spacing w:line="360" w:lineRule="auto"/>
              <w:rPr>
                <w:rFonts w:ascii="宋体" w:hAnsi="宋体"/>
                <w:kern w:val="0"/>
                <w:szCs w:val="21"/>
              </w:rPr>
            </w:pPr>
          </w:p>
        </w:tc>
        <w:tc>
          <w:tcPr>
            <w:tcW w:w="1253" w:type="pct"/>
            <w:vAlign w:val="center"/>
          </w:tcPr>
          <w:p>
            <w:pPr>
              <w:rPr>
                <w:rFonts w:ascii="宋体" w:hAnsi="宋体"/>
                <w:szCs w:val="21"/>
              </w:rPr>
            </w:pPr>
            <w:r>
              <w:rPr>
                <w:rFonts w:hint="eastAsia" w:ascii="宋体" w:hAnsi="宋体"/>
                <w:szCs w:val="21"/>
              </w:rPr>
              <w:t>药用植物学与生药学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ascii="宋体" w:hAnsi="宋体" w:cs="宋体"/>
                <w:kern w:val="0"/>
                <w:szCs w:val="21"/>
              </w:rPr>
              <w:t>3</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临床医学概论</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药用高分子材料</w:t>
            </w:r>
          </w:p>
        </w:tc>
        <w:tc>
          <w:tcPr>
            <w:tcW w:w="598" w:type="pct"/>
            <w:vAlign w:val="center"/>
          </w:tcPr>
          <w:p>
            <w:pPr>
              <w:jc w:val="center"/>
              <w:rPr>
                <w:rFonts w:hint="eastAsia" w:ascii="宋体" w:hAnsi="宋体" w:eastAsia="宋体"/>
                <w:szCs w:val="21"/>
                <w:lang w:val="en-US" w:eastAsia="zh-CN"/>
              </w:rPr>
            </w:pPr>
            <w:r>
              <w:rPr>
                <w:rFonts w:hint="eastAsia" w:ascii="宋体" w:hAnsi="宋体"/>
                <w:szCs w:val="21"/>
                <w:lang w:val="en-US" w:eastAsia="zh-CN"/>
              </w:rPr>
              <w:t>1</w:t>
            </w:r>
          </w:p>
        </w:tc>
        <w:tc>
          <w:tcPr>
            <w:tcW w:w="534" w:type="pct"/>
            <w:vAlign w:val="center"/>
          </w:tcPr>
          <w:p>
            <w:pPr>
              <w:jc w:val="center"/>
              <w:rPr>
                <w:rFonts w:hint="eastAsia" w:ascii="宋体" w:hAnsi="宋体" w:eastAsia="宋体"/>
                <w:szCs w:val="21"/>
                <w:lang w:val="en-US" w:eastAsia="zh-CN"/>
              </w:rPr>
            </w:pPr>
            <w:r>
              <w:rPr>
                <w:rFonts w:hint="eastAsia" w:ascii="宋体" w:hAnsi="宋体"/>
                <w:szCs w:val="21"/>
                <w:lang w:val="en-US" w:eastAsia="zh-CN"/>
              </w:rPr>
              <w:t>1</w:t>
            </w:r>
          </w:p>
        </w:tc>
        <w:tc>
          <w:tcPr>
            <w:tcW w:w="519" w:type="pct"/>
            <w:vAlign w:val="center"/>
          </w:tcPr>
          <w:p>
            <w:pPr>
              <w:widowControl/>
              <w:spacing w:line="360" w:lineRule="auto"/>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6</w:t>
            </w:r>
          </w:p>
        </w:tc>
        <w:tc>
          <w:tcPr>
            <w:tcW w:w="1346" w:type="pct"/>
            <w:vAlign w:val="center"/>
          </w:tcPr>
          <w:p>
            <w:pPr>
              <w:rPr>
                <w:rFonts w:ascii="宋体" w:hAnsi="宋体"/>
                <w:szCs w:val="21"/>
              </w:rPr>
            </w:pPr>
            <w:r>
              <w:rPr>
                <w:rFonts w:hint="eastAsia" w:ascii="宋体" w:hAnsi="宋体"/>
                <w:szCs w:val="21"/>
                <w:lang w:val="en-US" w:eastAsia="zh-CN"/>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药物设计学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ascii="宋体" w:hAnsi="宋体" w:cs="宋体"/>
                <w:color w:val="000000" w:themeColor="text1"/>
                <w:kern w:val="0"/>
                <w:szCs w:val="21"/>
                <w14:textFill>
                  <w14:solidFill>
                    <w14:schemeClr w14:val="tx1"/>
                  </w14:solidFill>
                </w14:textFill>
              </w:rPr>
              <w:t>6</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生物药剂学与药物动力学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制药工艺学</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szCs w:val="21"/>
              </w:rPr>
            </w:pPr>
            <w:r>
              <w:rPr>
                <w:rFonts w:hint="eastAsia" w:ascii="宋体" w:hAnsi="宋体"/>
                <w:szCs w:val="21"/>
              </w:rPr>
              <w:t>药物分离技术</w:t>
            </w:r>
          </w:p>
        </w:tc>
        <w:tc>
          <w:tcPr>
            <w:tcW w:w="598" w:type="pct"/>
            <w:vAlign w:val="center"/>
          </w:tcPr>
          <w:p>
            <w:pPr>
              <w:jc w:val="center"/>
              <w:rPr>
                <w:rFonts w:ascii="宋体" w:hAnsi="宋体"/>
                <w:szCs w:val="21"/>
              </w:rPr>
            </w:pPr>
            <w:r>
              <w:rPr>
                <w:rFonts w:ascii="宋体" w:hAnsi="宋体"/>
                <w:szCs w:val="21"/>
              </w:rPr>
              <w:t>1</w:t>
            </w:r>
          </w:p>
        </w:tc>
        <w:tc>
          <w:tcPr>
            <w:tcW w:w="534" w:type="pct"/>
            <w:vAlign w:val="center"/>
          </w:tcPr>
          <w:p>
            <w:pPr>
              <w:jc w:val="center"/>
              <w:rPr>
                <w:rFonts w:ascii="宋体" w:hAnsi="宋体"/>
                <w:szCs w:val="21"/>
              </w:rPr>
            </w:pPr>
            <w:r>
              <w:rPr>
                <w:rFonts w:ascii="宋体" w:hAnsi="宋体"/>
                <w:szCs w:val="21"/>
              </w:rPr>
              <w:t>1</w:t>
            </w:r>
          </w:p>
        </w:tc>
        <w:tc>
          <w:tcPr>
            <w:tcW w:w="51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346" w:type="pct"/>
            <w:vAlign w:val="center"/>
          </w:tcPr>
          <w:p>
            <w:pPr>
              <w:rPr>
                <w:rFonts w:ascii="宋体" w:hAnsi="宋体"/>
                <w:szCs w:val="21"/>
              </w:rPr>
            </w:pPr>
            <w:r>
              <w:rPr>
                <w:rFonts w:ascii="宋体" w:hAnsi="宋体"/>
                <w:szCs w:val="21"/>
              </w:rPr>
              <w:t>116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ascii="宋体" w:hAnsi="宋体" w:cs="宋体"/>
                <w:kern w:val="0"/>
                <w:szCs w:val="21"/>
              </w:rPr>
            </w:pPr>
          </w:p>
        </w:tc>
        <w:tc>
          <w:tcPr>
            <w:tcW w:w="1253" w:type="pct"/>
            <w:vAlign w:val="center"/>
          </w:tcPr>
          <w:p>
            <w:pPr>
              <w:rPr>
                <w:rFonts w:ascii="宋体" w:hAnsi="宋体"/>
                <w:color w:val="0000FF"/>
                <w:szCs w:val="21"/>
              </w:rPr>
            </w:pPr>
            <w:r>
              <w:rPr>
                <w:rFonts w:hint="eastAsia" w:ascii="宋体" w:hAnsi="宋体"/>
                <w:color w:val="0000FF"/>
                <w:szCs w:val="21"/>
              </w:rPr>
              <w:t>药物毒理学</w:t>
            </w:r>
          </w:p>
        </w:tc>
        <w:tc>
          <w:tcPr>
            <w:tcW w:w="598" w:type="pct"/>
            <w:vAlign w:val="center"/>
          </w:tcPr>
          <w:p>
            <w:pPr>
              <w:jc w:val="center"/>
              <w:rPr>
                <w:rFonts w:ascii="宋体" w:hAnsi="宋体"/>
                <w:color w:val="0000FF"/>
                <w:szCs w:val="21"/>
              </w:rPr>
            </w:pPr>
            <w:r>
              <w:rPr>
                <w:rFonts w:ascii="宋体" w:hAnsi="宋体"/>
                <w:color w:val="0000FF"/>
                <w:szCs w:val="21"/>
              </w:rPr>
              <w:t>1</w:t>
            </w:r>
          </w:p>
        </w:tc>
        <w:tc>
          <w:tcPr>
            <w:tcW w:w="534" w:type="pct"/>
            <w:vAlign w:val="center"/>
          </w:tcPr>
          <w:p>
            <w:pPr>
              <w:jc w:val="center"/>
              <w:rPr>
                <w:rFonts w:ascii="宋体" w:hAnsi="宋体"/>
                <w:color w:val="0000FF"/>
                <w:szCs w:val="21"/>
              </w:rPr>
            </w:pPr>
            <w:r>
              <w:rPr>
                <w:rFonts w:ascii="宋体" w:hAnsi="宋体"/>
                <w:color w:val="0000FF"/>
                <w:szCs w:val="21"/>
              </w:rPr>
              <w:t>1</w:t>
            </w:r>
          </w:p>
        </w:tc>
        <w:tc>
          <w:tcPr>
            <w:tcW w:w="519" w:type="pct"/>
            <w:vAlign w:val="center"/>
          </w:tcPr>
          <w:p>
            <w:pPr>
              <w:widowControl/>
              <w:spacing w:line="360" w:lineRule="auto"/>
              <w:jc w:val="center"/>
              <w:rPr>
                <w:rFonts w:hint="eastAsia" w:ascii="宋体" w:hAnsi="宋体" w:eastAsia="宋体" w:cs="宋体"/>
                <w:color w:val="0000FF"/>
                <w:kern w:val="0"/>
                <w:szCs w:val="21"/>
                <w:lang w:val="en-US" w:eastAsia="zh-CN"/>
              </w:rPr>
            </w:pPr>
            <w:r>
              <w:rPr>
                <w:rFonts w:hint="eastAsia" w:ascii="宋体" w:hAnsi="宋体" w:cs="宋体"/>
                <w:color w:val="0000FF"/>
                <w:kern w:val="0"/>
                <w:szCs w:val="21"/>
                <w:lang w:val="en-US" w:eastAsia="zh-CN"/>
              </w:rPr>
              <w:t>5</w:t>
            </w:r>
            <w:bookmarkStart w:id="18" w:name="_GoBack"/>
            <w:bookmarkEnd w:id="18"/>
          </w:p>
        </w:tc>
        <w:tc>
          <w:tcPr>
            <w:tcW w:w="1346"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lang w:val="en-US" w:eastAsia="zh-CN" w:bidi="ar-SA"/>
              </w:rPr>
            </w:pPr>
            <w:r>
              <w:rPr>
                <w:rFonts w:hint="eastAsia" w:ascii="宋体" w:hAnsi="宋体" w:eastAsia="宋体" w:cs="宋体"/>
                <w:i w:val="0"/>
                <w:iCs w:val="0"/>
                <w:color w:val="FF0000"/>
                <w:kern w:val="0"/>
                <w:sz w:val="21"/>
                <w:szCs w:val="21"/>
                <w:u w:val="none"/>
                <w:lang w:val="en-US" w:eastAsia="zh-CN" w:bidi="ar"/>
              </w:rPr>
              <w:t>基因工程药物</w:t>
            </w:r>
          </w:p>
        </w:tc>
        <w:tc>
          <w:tcPr>
            <w:tcW w:w="598" w:type="pct"/>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534" w:type="pct"/>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519" w:type="pct"/>
            <w:vAlign w:val="center"/>
          </w:tcPr>
          <w:p>
            <w:pPr>
              <w:widowControl/>
              <w:spacing w:line="360" w:lineRule="auto"/>
              <w:jc w:val="center"/>
              <w:rPr>
                <w:rFonts w:hint="default" w:ascii="宋体" w:hAnsi="宋体" w:eastAsia="宋体" w:cs="宋体"/>
                <w:color w:val="FF0000"/>
                <w:kern w:val="0"/>
                <w:sz w:val="21"/>
                <w:szCs w:val="21"/>
                <w:lang w:val="en-US" w:eastAsia="zh-CN" w:bidi="ar-SA"/>
              </w:rPr>
            </w:pPr>
            <w:r>
              <w:rPr>
                <w:rFonts w:hint="eastAsia" w:ascii="宋体" w:hAnsi="宋体" w:cs="宋体"/>
                <w:color w:val="FF0000"/>
                <w:kern w:val="0"/>
                <w:sz w:val="21"/>
                <w:szCs w:val="21"/>
                <w:lang w:val="en-US" w:eastAsia="zh-CN" w:bidi="ar-SA"/>
              </w:rPr>
              <w:t>3</w:t>
            </w:r>
          </w:p>
        </w:tc>
        <w:tc>
          <w:tcPr>
            <w:tcW w:w="1346" w:type="pct"/>
            <w:vAlign w:val="center"/>
          </w:tcPr>
          <w:p>
            <w:pPr>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rPr>
            </w:pPr>
            <w:r>
              <w:rPr>
                <w:rFonts w:hint="eastAsia" w:ascii="宋体" w:hAnsi="宋体" w:eastAsia="宋体" w:cs="宋体"/>
                <w:i w:val="0"/>
                <w:iCs w:val="0"/>
                <w:color w:val="FF0000"/>
                <w:kern w:val="0"/>
                <w:sz w:val="21"/>
                <w:szCs w:val="21"/>
                <w:u w:val="none"/>
                <w:lang w:val="en-US" w:eastAsia="zh-CN" w:bidi="ar"/>
              </w:rPr>
              <w:t>生物技术药物</w:t>
            </w:r>
          </w:p>
        </w:tc>
        <w:tc>
          <w:tcPr>
            <w:tcW w:w="598" w:type="pct"/>
            <w:vAlign w:val="center"/>
          </w:tcPr>
          <w:p>
            <w:pPr>
              <w:jc w:val="center"/>
              <w:rPr>
                <w:rFonts w:hint="eastAsia" w:ascii="宋体" w:hAnsi="宋体" w:eastAsia="宋体" w:cs="宋体"/>
                <w:color w:val="FF0000"/>
                <w:kern w:val="0"/>
                <w:sz w:val="21"/>
                <w:szCs w:val="21"/>
              </w:rPr>
            </w:pPr>
            <w:r>
              <w:rPr>
                <w:rFonts w:hint="eastAsia" w:ascii="宋体" w:hAnsi="宋体" w:eastAsia="宋体" w:cs="宋体"/>
                <w:color w:val="FF0000"/>
                <w:sz w:val="21"/>
                <w:szCs w:val="21"/>
                <w:lang w:val="en-US" w:eastAsia="zh-CN"/>
              </w:rPr>
              <w:t>1</w:t>
            </w:r>
          </w:p>
        </w:tc>
        <w:tc>
          <w:tcPr>
            <w:tcW w:w="534" w:type="pct"/>
            <w:vAlign w:val="center"/>
          </w:tcPr>
          <w:p>
            <w:pPr>
              <w:jc w:val="center"/>
              <w:rPr>
                <w:rFonts w:hint="eastAsia" w:ascii="宋体" w:hAnsi="宋体" w:eastAsia="宋体" w:cs="宋体"/>
                <w:color w:val="FF0000"/>
                <w:kern w:val="0"/>
                <w:sz w:val="21"/>
                <w:szCs w:val="21"/>
              </w:rPr>
            </w:pPr>
            <w:r>
              <w:rPr>
                <w:rFonts w:hint="eastAsia" w:ascii="宋体" w:hAnsi="宋体" w:eastAsia="宋体" w:cs="宋体"/>
                <w:color w:val="FF0000"/>
                <w:sz w:val="21"/>
                <w:szCs w:val="21"/>
                <w:lang w:val="en-US" w:eastAsia="zh-CN"/>
              </w:rPr>
              <w:t>1</w:t>
            </w:r>
          </w:p>
        </w:tc>
        <w:tc>
          <w:tcPr>
            <w:tcW w:w="519" w:type="pct"/>
            <w:vAlign w:val="center"/>
          </w:tcPr>
          <w:p>
            <w:pPr>
              <w:widowControl/>
              <w:spacing w:line="360" w:lineRule="auto"/>
              <w:jc w:val="center"/>
              <w:rPr>
                <w:rFonts w:hint="eastAsia" w:ascii="宋体" w:hAnsi="宋体" w:eastAsia="宋体" w:cs="宋体"/>
                <w:color w:val="FF0000"/>
                <w:kern w:val="0"/>
                <w:sz w:val="21"/>
                <w:szCs w:val="21"/>
                <w:lang w:val="en-US" w:eastAsia="zh-CN"/>
              </w:rPr>
            </w:pPr>
            <w:r>
              <w:rPr>
                <w:rFonts w:hint="eastAsia" w:ascii="宋体" w:hAnsi="宋体" w:eastAsia="宋体" w:cs="宋体"/>
                <w:color w:val="FF0000"/>
                <w:kern w:val="0"/>
                <w:sz w:val="21"/>
                <w:szCs w:val="21"/>
                <w:lang w:val="en-US" w:eastAsia="zh-CN"/>
              </w:rPr>
              <w:t>4</w:t>
            </w:r>
          </w:p>
        </w:tc>
        <w:tc>
          <w:tcPr>
            <w:tcW w:w="1346" w:type="pct"/>
            <w:vAlign w:val="center"/>
          </w:tcPr>
          <w:p>
            <w:pP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16</w:t>
            </w:r>
            <w:r>
              <w:rPr>
                <w:rFonts w:hint="eastAsia" w:ascii="宋体" w:hAnsi="宋体" w:eastAsia="宋体" w:cs="宋体"/>
                <w:color w:val="FF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rPr>
            </w:pPr>
            <w:r>
              <w:rPr>
                <w:rFonts w:hint="eastAsia" w:ascii="宋体" w:hAnsi="宋体" w:eastAsia="宋体" w:cs="宋体"/>
                <w:i w:val="0"/>
                <w:iCs w:val="0"/>
                <w:color w:val="FF0000"/>
                <w:kern w:val="0"/>
                <w:sz w:val="21"/>
                <w:szCs w:val="21"/>
                <w:u w:val="none"/>
                <w:lang w:val="en-US" w:eastAsia="zh-CN" w:bidi="ar"/>
              </w:rPr>
              <w:t>海洋药物学</w:t>
            </w:r>
          </w:p>
        </w:tc>
        <w:tc>
          <w:tcPr>
            <w:tcW w:w="598" w:type="pct"/>
            <w:vAlign w:val="center"/>
          </w:tcPr>
          <w:p>
            <w:pPr>
              <w:jc w:val="center"/>
              <w:rPr>
                <w:rFonts w:hint="eastAsia" w:ascii="宋体" w:hAnsi="宋体" w:eastAsia="宋体" w:cs="宋体"/>
                <w:color w:val="FF0000"/>
                <w:kern w:val="0"/>
                <w:sz w:val="21"/>
                <w:szCs w:val="21"/>
              </w:rPr>
            </w:pPr>
            <w:r>
              <w:rPr>
                <w:rFonts w:hint="eastAsia" w:ascii="宋体" w:hAnsi="宋体" w:eastAsia="宋体" w:cs="宋体"/>
                <w:color w:val="FF0000"/>
                <w:sz w:val="21"/>
                <w:szCs w:val="21"/>
              </w:rPr>
              <w:t>1</w:t>
            </w:r>
          </w:p>
        </w:tc>
        <w:tc>
          <w:tcPr>
            <w:tcW w:w="534" w:type="pct"/>
            <w:vAlign w:val="center"/>
          </w:tcPr>
          <w:p>
            <w:pPr>
              <w:jc w:val="center"/>
              <w:rPr>
                <w:rFonts w:hint="eastAsia" w:ascii="宋体" w:hAnsi="宋体" w:eastAsia="宋体" w:cs="宋体"/>
                <w:color w:val="FF0000"/>
                <w:kern w:val="0"/>
                <w:sz w:val="21"/>
                <w:szCs w:val="21"/>
              </w:rPr>
            </w:pPr>
            <w:r>
              <w:rPr>
                <w:rFonts w:hint="eastAsia" w:ascii="宋体" w:hAnsi="宋体" w:eastAsia="宋体" w:cs="宋体"/>
                <w:color w:val="FF0000"/>
                <w:sz w:val="21"/>
                <w:szCs w:val="21"/>
              </w:rPr>
              <w:t>1</w:t>
            </w:r>
          </w:p>
        </w:tc>
        <w:tc>
          <w:tcPr>
            <w:tcW w:w="519" w:type="pct"/>
            <w:vAlign w:val="center"/>
          </w:tcPr>
          <w:p>
            <w:pPr>
              <w:widowControl/>
              <w:spacing w:line="360" w:lineRule="auto"/>
              <w:jc w:val="center"/>
              <w:rPr>
                <w:rFonts w:hint="eastAsia" w:ascii="宋体" w:hAnsi="宋体" w:eastAsia="宋体" w:cs="宋体"/>
                <w:color w:val="FF0000"/>
                <w:kern w:val="0"/>
                <w:sz w:val="21"/>
                <w:szCs w:val="21"/>
                <w:lang w:val="en-US" w:eastAsia="zh-CN"/>
              </w:rPr>
            </w:pPr>
            <w:r>
              <w:rPr>
                <w:rFonts w:hint="eastAsia" w:ascii="宋体" w:hAnsi="宋体" w:eastAsia="宋体" w:cs="宋体"/>
                <w:color w:val="FF0000"/>
                <w:kern w:val="0"/>
                <w:sz w:val="21"/>
                <w:szCs w:val="21"/>
                <w:lang w:val="en-US" w:eastAsia="zh-CN"/>
              </w:rPr>
              <w:t>5</w:t>
            </w:r>
          </w:p>
        </w:tc>
        <w:tc>
          <w:tcPr>
            <w:tcW w:w="1346" w:type="pct"/>
            <w:vAlign w:val="center"/>
          </w:tcPr>
          <w:p>
            <w:pPr>
              <w:rPr>
                <w:rFonts w:hint="eastAsia" w:ascii="宋体" w:hAnsi="宋体" w:eastAsia="宋体" w:cs="宋体"/>
                <w:color w:val="FF0000"/>
                <w:sz w:val="21"/>
                <w:szCs w:val="21"/>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hint="eastAsia" w:ascii="宋体" w:hAnsi="宋体" w:eastAsia="宋体" w:cs="宋体"/>
                <w:kern w:val="0"/>
                <w:sz w:val="21"/>
                <w:szCs w:val="21"/>
                <w:lang w:val="en-US" w:eastAsia="zh-CN" w:bidi="ar-SA"/>
              </w:rPr>
            </w:pPr>
            <w:r>
              <w:rPr>
                <w:rFonts w:hint="eastAsia" w:ascii="宋体" w:hAnsi="宋体" w:cs="宋体"/>
                <w:kern w:val="0"/>
                <w:szCs w:val="21"/>
              </w:rPr>
              <w:t>（研）高等药物化学（Ⅱ）</w:t>
            </w:r>
          </w:p>
        </w:tc>
        <w:tc>
          <w:tcPr>
            <w:tcW w:w="598" w:type="pct"/>
            <w:vAlign w:val="center"/>
          </w:tcPr>
          <w:p>
            <w:pPr>
              <w:jc w:val="center"/>
              <w:rPr>
                <w:rFonts w:ascii="宋体" w:hAnsi="宋体" w:eastAsia="宋体" w:cs="宋体"/>
                <w:kern w:val="0"/>
                <w:sz w:val="21"/>
                <w:szCs w:val="21"/>
                <w:lang w:val="en-US" w:eastAsia="zh-CN" w:bidi="ar-SA"/>
              </w:rPr>
            </w:pPr>
            <w:r>
              <w:rPr>
                <w:rFonts w:ascii="宋体" w:hAnsi="宋体"/>
                <w:szCs w:val="21"/>
              </w:rPr>
              <w:t>1</w:t>
            </w:r>
          </w:p>
        </w:tc>
        <w:tc>
          <w:tcPr>
            <w:tcW w:w="534" w:type="pct"/>
            <w:vAlign w:val="center"/>
          </w:tcPr>
          <w:p>
            <w:pPr>
              <w:jc w:val="center"/>
              <w:rPr>
                <w:rFonts w:ascii="宋体" w:hAnsi="宋体" w:eastAsia="宋体" w:cs="宋体"/>
                <w:kern w:val="0"/>
                <w:sz w:val="21"/>
                <w:szCs w:val="21"/>
                <w:lang w:val="en-US" w:eastAsia="zh-CN" w:bidi="ar-SA"/>
              </w:rPr>
            </w:pPr>
            <w:r>
              <w:rPr>
                <w:rFonts w:ascii="宋体" w:hAnsi="宋体"/>
                <w:szCs w:val="21"/>
              </w:rPr>
              <w:t>1</w:t>
            </w:r>
          </w:p>
        </w:tc>
        <w:tc>
          <w:tcPr>
            <w:tcW w:w="519" w:type="pct"/>
            <w:vAlign w:val="center"/>
          </w:tcPr>
          <w:p>
            <w:pPr>
              <w:widowControl/>
              <w:spacing w:line="360" w:lineRule="auto"/>
              <w:jc w:val="center"/>
              <w:rPr>
                <w:rFonts w:ascii="宋体" w:hAnsi="宋体" w:eastAsia="宋体" w:cs="宋体"/>
                <w:kern w:val="0"/>
                <w:sz w:val="21"/>
                <w:szCs w:val="21"/>
                <w:lang w:val="en-US" w:eastAsia="zh-CN" w:bidi="ar-SA"/>
              </w:rPr>
            </w:pPr>
            <w:r>
              <w:rPr>
                <w:rFonts w:hint="eastAsia" w:ascii="宋体" w:hAnsi="宋体" w:cs="宋体"/>
                <w:kern w:val="0"/>
                <w:szCs w:val="21"/>
              </w:rPr>
              <w:t>6</w:t>
            </w:r>
          </w:p>
        </w:tc>
        <w:tc>
          <w:tcPr>
            <w:tcW w:w="1346" w:type="pct"/>
            <w:vAlign w:val="center"/>
          </w:tcPr>
          <w:p>
            <w:pPr>
              <w:rPr>
                <w:rFonts w:ascii="宋体" w:hAnsi="宋体" w:eastAsia="宋体" w:cs="Times New Roman"/>
                <w:kern w:val="2"/>
                <w:sz w:val="21"/>
                <w:szCs w:val="21"/>
                <w:lang w:val="en-US" w:eastAsia="zh-CN" w:bidi="ar-SA"/>
              </w:rPr>
            </w:pPr>
            <w:r>
              <w:rPr>
                <w:rFonts w:ascii="宋体" w:hAnsi="宋体" w:cs="宋体"/>
                <w:kern w:val="0"/>
                <w:szCs w:val="21"/>
              </w:rPr>
              <w:t>16</w:t>
            </w:r>
            <w:r>
              <w:rPr>
                <w:rFonts w:hint="eastAsia" w:ascii="宋体" w:hAnsi="宋体" w:cs="宋体"/>
                <w:kern w:val="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hint="eastAsia" w:ascii="宋体" w:hAnsi="宋体" w:eastAsia="宋体" w:cs="宋体"/>
                <w:kern w:val="0"/>
                <w:sz w:val="21"/>
                <w:szCs w:val="21"/>
                <w:lang w:val="en-US" w:eastAsia="zh-CN" w:bidi="ar-SA"/>
              </w:rPr>
            </w:pPr>
            <w:r>
              <w:rPr>
                <w:rFonts w:hint="eastAsia" w:ascii="宋体" w:hAnsi="宋体" w:cs="宋体"/>
                <w:kern w:val="0"/>
                <w:szCs w:val="21"/>
              </w:rPr>
              <w:t>（研）药物毒理学</w:t>
            </w:r>
          </w:p>
        </w:tc>
        <w:tc>
          <w:tcPr>
            <w:tcW w:w="598" w:type="pct"/>
            <w:vAlign w:val="center"/>
          </w:tcPr>
          <w:p>
            <w:pPr>
              <w:jc w:val="center"/>
              <w:rPr>
                <w:rFonts w:ascii="宋体" w:hAnsi="宋体" w:eastAsia="宋体" w:cs="宋体"/>
                <w:kern w:val="0"/>
                <w:sz w:val="21"/>
                <w:szCs w:val="21"/>
                <w:lang w:val="en-US" w:eastAsia="zh-CN" w:bidi="ar-SA"/>
              </w:rPr>
            </w:pPr>
            <w:r>
              <w:rPr>
                <w:rFonts w:ascii="宋体" w:hAnsi="宋体"/>
                <w:szCs w:val="21"/>
              </w:rPr>
              <w:t>1</w:t>
            </w:r>
          </w:p>
        </w:tc>
        <w:tc>
          <w:tcPr>
            <w:tcW w:w="534" w:type="pct"/>
            <w:vAlign w:val="center"/>
          </w:tcPr>
          <w:p>
            <w:pPr>
              <w:jc w:val="center"/>
              <w:rPr>
                <w:rFonts w:ascii="宋体" w:hAnsi="宋体" w:eastAsia="宋体" w:cs="宋体"/>
                <w:kern w:val="0"/>
                <w:sz w:val="21"/>
                <w:szCs w:val="21"/>
                <w:lang w:val="en-US" w:eastAsia="zh-CN" w:bidi="ar-SA"/>
              </w:rPr>
            </w:pPr>
            <w:r>
              <w:rPr>
                <w:rFonts w:ascii="宋体" w:hAnsi="宋体"/>
                <w:szCs w:val="21"/>
              </w:rPr>
              <w:t>1</w:t>
            </w:r>
          </w:p>
        </w:tc>
        <w:tc>
          <w:tcPr>
            <w:tcW w:w="519" w:type="pct"/>
            <w:vAlign w:val="center"/>
          </w:tcPr>
          <w:p>
            <w:pPr>
              <w:widowControl/>
              <w:spacing w:line="360" w:lineRule="auto"/>
              <w:jc w:val="center"/>
              <w:rPr>
                <w:rFonts w:ascii="宋体" w:hAnsi="宋体" w:eastAsia="宋体" w:cs="宋体"/>
                <w:kern w:val="0"/>
                <w:sz w:val="21"/>
                <w:szCs w:val="21"/>
                <w:lang w:val="en-US" w:eastAsia="zh-CN" w:bidi="ar-SA"/>
              </w:rPr>
            </w:pPr>
            <w:r>
              <w:rPr>
                <w:rFonts w:hint="eastAsia" w:ascii="宋体" w:hAnsi="宋体" w:cs="宋体"/>
                <w:kern w:val="0"/>
                <w:szCs w:val="21"/>
              </w:rPr>
              <w:t>6</w:t>
            </w:r>
          </w:p>
        </w:tc>
        <w:tc>
          <w:tcPr>
            <w:tcW w:w="1346" w:type="pct"/>
            <w:vAlign w:val="center"/>
          </w:tcPr>
          <w:p>
            <w:pPr>
              <w:rPr>
                <w:rFonts w:ascii="宋体" w:hAnsi="宋体" w:eastAsia="宋体" w:cs="Times New Roman"/>
                <w:kern w:val="2"/>
                <w:sz w:val="21"/>
                <w:szCs w:val="21"/>
                <w:lang w:val="en-US" w:eastAsia="zh-CN" w:bidi="ar-SA"/>
              </w:rPr>
            </w:pPr>
            <w:r>
              <w:rPr>
                <w:rFonts w:ascii="宋体" w:hAnsi="宋体" w:cs="宋体"/>
                <w:kern w:val="0"/>
                <w:szCs w:val="21"/>
              </w:rPr>
              <w:t>16</w:t>
            </w:r>
            <w:r>
              <w:rPr>
                <w:rFonts w:hint="eastAsia" w:ascii="宋体" w:hAnsi="宋体" w:cs="宋体"/>
                <w:kern w:val="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kern w:val="0"/>
                <w:szCs w:val="21"/>
              </w:rPr>
            </w:pPr>
          </w:p>
        </w:tc>
        <w:tc>
          <w:tcPr>
            <w:tcW w:w="1253" w:type="pct"/>
            <w:vAlign w:val="center"/>
          </w:tcPr>
          <w:p>
            <w:pPr>
              <w:rPr>
                <w:rFonts w:hint="eastAsia" w:ascii="宋体" w:hAnsi="宋体" w:eastAsia="宋体" w:cs="宋体"/>
                <w:kern w:val="0"/>
                <w:sz w:val="21"/>
                <w:szCs w:val="21"/>
                <w:lang w:val="en-US" w:eastAsia="zh-CN" w:bidi="ar-SA"/>
              </w:rPr>
            </w:pPr>
            <w:r>
              <w:rPr>
                <w:rFonts w:hint="eastAsia" w:ascii="宋体" w:hAnsi="宋体" w:cs="宋体"/>
                <w:kern w:val="0"/>
                <w:szCs w:val="21"/>
              </w:rPr>
              <w:t>（研）</w:t>
            </w:r>
            <w:r>
              <w:rPr>
                <w:rFonts w:ascii="宋体" w:hAnsi="宋体" w:cs="宋体"/>
                <w:kern w:val="0"/>
                <w:szCs w:val="21"/>
              </w:rPr>
              <w:t>医药专利与知识产权保护</w:t>
            </w:r>
          </w:p>
        </w:tc>
        <w:tc>
          <w:tcPr>
            <w:tcW w:w="598" w:type="pct"/>
            <w:vAlign w:val="center"/>
          </w:tcPr>
          <w:p>
            <w:pPr>
              <w:jc w:val="center"/>
              <w:rPr>
                <w:rFonts w:ascii="宋体" w:hAnsi="宋体" w:eastAsia="宋体" w:cs="宋体"/>
                <w:kern w:val="0"/>
                <w:sz w:val="21"/>
                <w:szCs w:val="21"/>
                <w:lang w:val="en-US" w:eastAsia="zh-CN" w:bidi="ar-SA"/>
              </w:rPr>
            </w:pPr>
            <w:r>
              <w:rPr>
                <w:rFonts w:ascii="宋体" w:hAnsi="宋体"/>
                <w:szCs w:val="21"/>
              </w:rPr>
              <w:t>1</w:t>
            </w:r>
          </w:p>
        </w:tc>
        <w:tc>
          <w:tcPr>
            <w:tcW w:w="534" w:type="pct"/>
            <w:vAlign w:val="center"/>
          </w:tcPr>
          <w:p>
            <w:pPr>
              <w:jc w:val="center"/>
              <w:rPr>
                <w:rFonts w:ascii="宋体" w:hAnsi="宋体" w:eastAsia="宋体" w:cs="宋体"/>
                <w:kern w:val="0"/>
                <w:sz w:val="21"/>
                <w:szCs w:val="21"/>
                <w:lang w:val="en-US" w:eastAsia="zh-CN" w:bidi="ar-SA"/>
              </w:rPr>
            </w:pPr>
            <w:r>
              <w:rPr>
                <w:rFonts w:ascii="宋体" w:hAnsi="宋体"/>
                <w:szCs w:val="21"/>
              </w:rPr>
              <w:t>1</w:t>
            </w:r>
          </w:p>
        </w:tc>
        <w:tc>
          <w:tcPr>
            <w:tcW w:w="519" w:type="pct"/>
            <w:vAlign w:val="center"/>
          </w:tcPr>
          <w:p>
            <w:pPr>
              <w:widowControl/>
              <w:spacing w:line="360" w:lineRule="auto"/>
              <w:jc w:val="center"/>
              <w:rPr>
                <w:rFonts w:ascii="宋体" w:hAnsi="宋体" w:eastAsia="宋体" w:cs="宋体"/>
                <w:kern w:val="0"/>
                <w:sz w:val="21"/>
                <w:szCs w:val="21"/>
                <w:lang w:val="en-US" w:eastAsia="zh-CN" w:bidi="ar-SA"/>
              </w:rPr>
            </w:pPr>
            <w:r>
              <w:rPr>
                <w:rFonts w:ascii="宋体" w:hAnsi="宋体" w:cs="宋体"/>
                <w:kern w:val="0"/>
                <w:szCs w:val="21"/>
              </w:rPr>
              <w:t>8</w:t>
            </w:r>
          </w:p>
        </w:tc>
        <w:tc>
          <w:tcPr>
            <w:tcW w:w="1346" w:type="pct"/>
            <w:vAlign w:val="center"/>
          </w:tcPr>
          <w:p>
            <w:pPr>
              <w:rPr>
                <w:rFonts w:ascii="宋体" w:hAnsi="宋体" w:eastAsia="宋体" w:cs="Times New Roman"/>
                <w:kern w:val="2"/>
                <w:sz w:val="21"/>
                <w:szCs w:val="21"/>
                <w:lang w:val="en-US" w:eastAsia="zh-CN" w:bidi="ar-SA"/>
              </w:rPr>
            </w:pPr>
            <w:r>
              <w:rPr>
                <w:rFonts w:ascii="宋体" w:hAnsi="宋体" w:cs="宋体"/>
                <w:kern w:val="0"/>
                <w:szCs w:val="21"/>
              </w:rPr>
              <w:t>16</w:t>
            </w:r>
            <w:r>
              <w:rPr>
                <w:rFonts w:hint="eastAsia" w:ascii="宋体" w:hAnsi="宋体" w:cs="宋体"/>
                <w:kern w:val="0"/>
                <w:szCs w:val="21"/>
              </w:rPr>
              <w:t>学时</w:t>
            </w:r>
          </w:p>
        </w:tc>
      </w:tr>
    </w:tbl>
    <w:p>
      <w:pPr>
        <w:widowControl/>
        <w:spacing w:line="360" w:lineRule="auto"/>
        <w:rPr>
          <w:rFonts w:ascii="Times New Roman" w:hAnsi="Times New Roman" w:cs="宋体"/>
          <w:b/>
          <w:kern w:val="0"/>
          <w:sz w:val="24"/>
        </w:rPr>
      </w:pPr>
    </w:p>
    <w:p>
      <w:pPr>
        <w:widowControl/>
        <w:spacing w:line="360" w:lineRule="auto"/>
        <w:rPr>
          <w:rFonts w:ascii="Times New Roman" w:hAnsi="Times New Roman" w:cs="宋体"/>
          <w:b/>
          <w:kern w:val="0"/>
          <w:sz w:val="24"/>
        </w:rPr>
      </w:pPr>
      <w:r>
        <w:rPr>
          <w:rFonts w:hint="eastAsia" w:ascii="Times New Roman" w:hAnsi="Times New Roman" w:cs="宋体"/>
          <w:b/>
          <w:kern w:val="0"/>
          <w:sz w:val="24"/>
        </w:rPr>
        <w:t>6</w:t>
      </w:r>
      <w:r>
        <w:rPr>
          <w:rFonts w:ascii="Times New Roman" w:hAnsi="Times New Roman" w:cs="宋体"/>
          <w:b/>
          <w:kern w:val="0"/>
          <w:sz w:val="24"/>
        </w:rPr>
        <w:t>.</w:t>
      </w:r>
      <w:r>
        <w:rPr>
          <w:rFonts w:hint="eastAsia" w:ascii="Times New Roman" w:hAnsi="Times New Roman" w:cs="宋体"/>
          <w:b/>
          <w:kern w:val="0"/>
          <w:sz w:val="24"/>
        </w:rPr>
        <w:t>集中实践（共</w:t>
      </w:r>
      <w:r>
        <w:rPr>
          <w:rFonts w:ascii="Times New Roman" w:hAnsi="Times New Roman" w:cs="宋体"/>
          <w:b/>
          <w:color w:val="FF0000"/>
          <w:kern w:val="0"/>
          <w:sz w:val="24"/>
        </w:rPr>
        <w:t>33</w:t>
      </w:r>
      <w:r>
        <w:rPr>
          <w:rFonts w:hint="eastAsia" w:ascii="Times New Roman" w:hAnsi="Times New Roman" w:cs="宋体"/>
          <w:b/>
          <w:kern w:val="0"/>
          <w:sz w:val="24"/>
        </w:rPr>
        <w:t>学分，其中必修</w:t>
      </w:r>
      <w:r>
        <w:rPr>
          <w:rFonts w:ascii="Times New Roman" w:hAnsi="Times New Roman" w:cs="宋体"/>
          <w:b/>
          <w:color w:val="FF0000"/>
          <w:kern w:val="0"/>
          <w:sz w:val="24"/>
        </w:rPr>
        <w:t>33</w:t>
      </w:r>
      <w:r>
        <w:rPr>
          <w:rFonts w:hint="eastAsia" w:ascii="Times New Roman" w:hAnsi="Times New Roman" w:cs="宋体"/>
          <w:b/>
          <w:kern w:val="0"/>
          <w:sz w:val="24"/>
        </w:rPr>
        <w:t>学分，选修</w:t>
      </w:r>
      <w:r>
        <w:rPr>
          <w:rFonts w:ascii="Times New Roman" w:hAnsi="Times New Roman" w:cs="宋体"/>
          <w:b/>
          <w:kern w:val="0"/>
          <w:sz w:val="24"/>
        </w:rPr>
        <w:t>0</w:t>
      </w:r>
      <w:r>
        <w:rPr>
          <w:rFonts w:hint="eastAsia" w:ascii="Times New Roman" w:hAnsi="Times New Roman" w:cs="宋体"/>
          <w:b/>
          <w:kern w:val="0"/>
          <w:sz w:val="24"/>
        </w:rPr>
        <w:t>学分）</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270"/>
        <w:gridCol w:w="869"/>
        <w:gridCol w:w="1158"/>
        <w:gridCol w:w="101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tcPr>
          <w:p>
            <w:pPr>
              <w:widowControl/>
              <w:spacing w:line="360" w:lineRule="auto"/>
              <w:rPr>
                <w:rFonts w:ascii="宋体" w:hAnsi="宋体" w:cs="宋体"/>
                <w:b/>
                <w:kern w:val="0"/>
                <w:szCs w:val="21"/>
              </w:rPr>
            </w:pPr>
            <w:r>
              <w:rPr>
                <w:rFonts w:hint="eastAsia" w:ascii="宋体" w:hAnsi="宋体" w:cs="宋体"/>
                <w:b/>
                <w:kern w:val="0"/>
                <w:szCs w:val="21"/>
              </w:rPr>
              <w:t>课程代码</w:t>
            </w:r>
          </w:p>
        </w:tc>
        <w:tc>
          <w:tcPr>
            <w:tcW w:w="1200" w:type="pct"/>
          </w:tcPr>
          <w:p>
            <w:pPr>
              <w:widowControl/>
              <w:spacing w:line="360" w:lineRule="auto"/>
              <w:rPr>
                <w:rFonts w:ascii="宋体" w:hAnsi="宋体" w:cs="宋体"/>
                <w:b/>
                <w:kern w:val="0"/>
                <w:szCs w:val="21"/>
              </w:rPr>
            </w:pPr>
            <w:r>
              <w:rPr>
                <w:rFonts w:hint="eastAsia" w:ascii="宋体" w:hAnsi="宋体" w:cs="宋体"/>
                <w:b/>
                <w:kern w:val="0"/>
                <w:szCs w:val="21"/>
              </w:rPr>
              <w:t>课程名称</w:t>
            </w:r>
          </w:p>
        </w:tc>
        <w:tc>
          <w:tcPr>
            <w:tcW w:w="459" w:type="pct"/>
          </w:tcPr>
          <w:p>
            <w:pPr>
              <w:widowControl/>
              <w:spacing w:line="360" w:lineRule="auto"/>
              <w:rPr>
                <w:rFonts w:ascii="宋体" w:hAnsi="宋体" w:cs="宋体"/>
                <w:b/>
                <w:kern w:val="0"/>
                <w:szCs w:val="21"/>
              </w:rPr>
            </w:pPr>
            <w:r>
              <w:rPr>
                <w:rFonts w:hint="eastAsia" w:ascii="宋体" w:hAnsi="宋体" w:cs="宋体"/>
                <w:b/>
                <w:kern w:val="0"/>
                <w:szCs w:val="21"/>
              </w:rPr>
              <w:t>学分</w:t>
            </w:r>
          </w:p>
        </w:tc>
        <w:tc>
          <w:tcPr>
            <w:tcW w:w="612" w:type="pct"/>
          </w:tcPr>
          <w:p>
            <w:pPr>
              <w:widowControl/>
              <w:spacing w:line="360" w:lineRule="auto"/>
              <w:rPr>
                <w:rFonts w:ascii="宋体" w:hAnsi="宋体" w:cs="宋体"/>
                <w:b/>
                <w:kern w:val="0"/>
                <w:szCs w:val="21"/>
              </w:rPr>
            </w:pPr>
            <w:r>
              <w:rPr>
                <w:rFonts w:hint="eastAsia" w:ascii="宋体" w:hAnsi="宋体" w:cs="宋体"/>
                <w:b/>
                <w:kern w:val="0"/>
                <w:szCs w:val="21"/>
              </w:rPr>
              <w:t>周学时</w:t>
            </w:r>
          </w:p>
        </w:tc>
        <w:tc>
          <w:tcPr>
            <w:tcW w:w="535" w:type="pct"/>
          </w:tcPr>
          <w:p>
            <w:pPr>
              <w:widowControl/>
              <w:spacing w:line="360" w:lineRule="auto"/>
              <w:rPr>
                <w:rFonts w:ascii="宋体" w:hAnsi="宋体" w:cs="宋体"/>
                <w:b/>
                <w:kern w:val="0"/>
                <w:szCs w:val="21"/>
              </w:rPr>
            </w:pPr>
            <w:r>
              <w:rPr>
                <w:rFonts w:hint="eastAsia" w:ascii="宋体" w:hAnsi="宋体" w:cs="宋体"/>
                <w:b/>
                <w:kern w:val="0"/>
                <w:szCs w:val="21"/>
              </w:rPr>
              <w:t>学期</w:t>
            </w:r>
          </w:p>
        </w:tc>
        <w:tc>
          <w:tcPr>
            <w:tcW w:w="1254" w:type="pct"/>
          </w:tcPr>
          <w:p>
            <w:pPr>
              <w:widowControl/>
              <w:spacing w:line="360" w:lineRule="auto"/>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cs="宋体"/>
                <w:kern w:val="0"/>
                <w:szCs w:val="21"/>
              </w:rPr>
            </w:pPr>
          </w:p>
        </w:tc>
        <w:tc>
          <w:tcPr>
            <w:tcW w:w="1200" w:type="pct"/>
            <w:vAlign w:val="center"/>
          </w:tcPr>
          <w:p>
            <w:pPr>
              <w:rPr>
                <w:rFonts w:ascii="宋体" w:hAnsi="宋体"/>
                <w:szCs w:val="21"/>
              </w:rPr>
            </w:pPr>
            <w:r>
              <w:rPr>
                <w:rFonts w:hint="eastAsia" w:ascii="宋体" w:hAnsi="宋体"/>
                <w:szCs w:val="21"/>
              </w:rPr>
              <w:t>安全教育与军事训练</w:t>
            </w:r>
          </w:p>
        </w:tc>
        <w:tc>
          <w:tcPr>
            <w:tcW w:w="459" w:type="pct"/>
            <w:vAlign w:val="center"/>
          </w:tcPr>
          <w:p>
            <w:pPr>
              <w:jc w:val="center"/>
              <w:rPr>
                <w:rFonts w:ascii="宋体" w:hAnsi="宋体"/>
                <w:szCs w:val="21"/>
              </w:rPr>
            </w:pPr>
            <w:r>
              <w:rPr>
                <w:rFonts w:ascii="宋体" w:hAnsi="宋体"/>
                <w:szCs w:val="21"/>
              </w:rPr>
              <w:t>0</w:t>
            </w:r>
          </w:p>
        </w:tc>
        <w:tc>
          <w:tcPr>
            <w:tcW w:w="612" w:type="pct"/>
            <w:vAlign w:val="center"/>
          </w:tcPr>
          <w:p>
            <w:pPr>
              <w:jc w:val="center"/>
              <w:rPr>
                <w:rFonts w:ascii="宋体" w:hAnsi="宋体"/>
                <w:szCs w:val="21"/>
              </w:rPr>
            </w:pPr>
            <w:r>
              <w:rPr>
                <w:rFonts w:ascii="宋体" w:hAnsi="宋体"/>
                <w:szCs w:val="21"/>
              </w:rPr>
              <w:t>0</w:t>
            </w:r>
          </w:p>
        </w:tc>
        <w:tc>
          <w:tcPr>
            <w:tcW w:w="53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254" w:type="pct"/>
            <w:vAlign w:val="center"/>
          </w:tcPr>
          <w:p>
            <w:pPr>
              <w:rPr>
                <w:rFonts w:ascii="宋体" w:hAnsi="宋体"/>
                <w:szCs w:val="21"/>
              </w:rPr>
            </w:pPr>
            <w:r>
              <w:rPr>
                <w:rFonts w:hint="eastAsia" w:ascii="宋体" w:hAnsi="宋体"/>
                <w:szCs w:val="21"/>
              </w:rPr>
              <w:t>含大学生安全教育、2周军训和军事理论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cs="宋体"/>
                <w:kern w:val="0"/>
                <w:szCs w:val="21"/>
              </w:rPr>
            </w:pPr>
          </w:p>
        </w:tc>
        <w:tc>
          <w:tcPr>
            <w:tcW w:w="1200" w:type="pct"/>
            <w:vAlign w:val="center"/>
          </w:tcPr>
          <w:p>
            <w:pPr>
              <w:rPr>
                <w:rFonts w:ascii="宋体" w:hAnsi="宋体"/>
                <w:szCs w:val="21"/>
              </w:rPr>
            </w:pPr>
            <w:r>
              <w:rPr>
                <w:rFonts w:hint="eastAsia" w:ascii="宋体" w:hAnsi="宋体"/>
                <w:szCs w:val="21"/>
              </w:rPr>
              <w:t>普通话测试</w:t>
            </w:r>
          </w:p>
        </w:tc>
        <w:tc>
          <w:tcPr>
            <w:tcW w:w="459" w:type="pct"/>
            <w:vAlign w:val="center"/>
          </w:tcPr>
          <w:p>
            <w:pPr>
              <w:jc w:val="center"/>
              <w:rPr>
                <w:rFonts w:ascii="宋体" w:hAnsi="宋体"/>
                <w:szCs w:val="21"/>
              </w:rPr>
            </w:pPr>
            <w:r>
              <w:rPr>
                <w:rFonts w:ascii="宋体" w:hAnsi="宋体"/>
                <w:szCs w:val="21"/>
              </w:rPr>
              <w:t>0</w:t>
            </w:r>
          </w:p>
        </w:tc>
        <w:tc>
          <w:tcPr>
            <w:tcW w:w="612" w:type="pct"/>
            <w:vAlign w:val="center"/>
          </w:tcPr>
          <w:p>
            <w:pPr>
              <w:jc w:val="center"/>
              <w:rPr>
                <w:rFonts w:ascii="宋体" w:hAnsi="宋体"/>
                <w:szCs w:val="21"/>
              </w:rPr>
            </w:pPr>
            <w:r>
              <w:rPr>
                <w:rFonts w:ascii="宋体" w:hAnsi="宋体"/>
                <w:szCs w:val="21"/>
              </w:rPr>
              <w:t>0</w:t>
            </w:r>
          </w:p>
        </w:tc>
        <w:tc>
          <w:tcPr>
            <w:tcW w:w="535" w:type="pct"/>
            <w:vAlign w:val="center"/>
          </w:tcPr>
          <w:p>
            <w:pPr>
              <w:widowControl/>
              <w:spacing w:line="360" w:lineRule="auto"/>
              <w:jc w:val="center"/>
              <w:rPr>
                <w:rFonts w:ascii="宋体" w:hAnsi="宋体" w:cs="宋体"/>
                <w:kern w:val="0"/>
                <w:szCs w:val="21"/>
              </w:rPr>
            </w:pPr>
          </w:p>
        </w:tc>
        <w:tc>
          <w:tcPr>
            <w:tcW w:w="1254" w:type="pc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cs="宋体"/>
                <w:kern w:val="0"/>
                <w:szCs w:val="21"/>
              </w:rPr>
            </w:pPr>
          </w:p>
        </w:tc>
        <w:tc>
          <w:tcPr>
            <w:tcW w:w="1200" w:type="pct"/>
            <w:vAlign w:val="center"/>
          </w:tcPr>
          <w:p>
            <w:pPr>
              <w:rPr>
                <w:rFonts w:ascii="宋体" w:hAnsi="宋体"/>
                <w:szCs w:val="21"/>
              </w:rPr>
            </w:pPr>
            <w:r>
              <w:rPr>
                <w:rFonts w:hint="eastAsia" w:ascii="宋体" w:hAnsi="宋体"/>
                <w:szCs w:val="21"/>
              </w:rPr>
              <w:t>劳动</w:t>
            </w:r>
          </w:p>
        </w:tc>
        <w:tc>
          <w:tcPr>
            <w:tcW w:w="459" w:type="pct"/>
            <w:vAlign w:val="center"/>
          </w:tcPr>
          <w:p>
            <w:pPr>
              <w:jc w:val="center"/>
              <w:rPr>
                <w:rFonts w:ascii="宋体" w:hAnsi="宋体"/>
                <w:szCs w:val="21"/>
              </w:rPr>
            </w:pPr>
            <w:r>
              <w:rPr>
                <w:rFonts w:ascii="宋体" w:hAnsi="宋体"/>
                <w:szCs w:val="21"/>
              </w:rPr>
              <w:t>0</w:t>
            </w:r>
          </w:p>
        </w:tc>
        <w:tc>
          <w:tcPr>
            <w:tcW w:w="612" w:type="pct"/>
            <w:vAlign w:val="center"/>
          </w:tcPr>
          <w:p>
            <w:pPr>
              <w:jc w:val="center"/>
              <w:rPr>
                <w:rFonts w:ascii="宋体" w:hAnsi="宋体"/>
                <w:szCs w:val="21"/>
              </w:rPr>
            </w:pPr>
            <w:r>
              <w:rPr>
                <w:rFonts w:ascii="宋体" w:hAnsi="宋体"/>
                <w:szCs w:val="21"/>
              </w:rPr>
              <w:t>0</w:t>
            </w:r>
          </w:p>
        </w:tc>
        <w:tc>
          <w:tcPr>
            <w:tcW w:w="53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254" w:type="pct"/>
            <w:vAlign w:val="center"/>
          </w:tcPr>
          <w:p>
            <w:pPr>
              <w:rPr>
                <w:rFonts w:ascii="宋体" w:hAnsi="宋体"/>
                <w:szCs w:val="21"/>
              </w:rPr>
            </w:pPr>
            <w:r>
              <w:rPr>
                <w:rFonts w:hint="eastAsia" w:ascii="宋体" w:hAnsi="宋体"/>
                <w:szCs w:val="21"/>
              </w:rPr>
              <w:t>每生必修，纳入学生综合素质测评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cs="宋体"/>
                <w:kern w:val="0"/>
                <w:szCs w:val="21"/>
              </w:rPr>
            </w:pPr>
          </w:p>
        </w:tc>
        <w:tc>
          <w:tcPr>
            <w:tcW w:w="1200" w:type="pct"/>
            <w:vAlign w:val="center"/>
          </w:tcPr>
          <w:p>
            <w:pPr>
              <w:rPr>
                <w:rFonts w:ascii="宋体" w:hAnsi="宋体"/>
                <w:szCs w:val="21"/>
              </w:rPr>
            </w:pPr>
            <w:r>
              <w:rPr>
                <w:rFonts w:ascii="宋体" w:hAnsi="宋体"/>
                <w:szCs w:val="21"/>
              </w:rPr>
              <w:t>金工实习</w:t>
            </w:r>
          </w:p>
        </w:tc>
        <w:tc>
          <w:tcPr>
            <w:tcW w:w="459" w:type="pct"/>
            <w:vAlign w:val="center"/>
          </w:tcPr>
          <w:p>
            <w:pPr>
              <w:jc w:val="center"/>
              <w:rPr>
                <w:rFonts w:ascii="宋体" w:hAnsi="宋体"/>
                <w:szCs w:val="21"/>
              </w:rPr>
            </w:pPr>
            <w:r>
              <w:rPr>
                <w:rFonts w:hint="eastAsia" w:ascii="宋体" w:hAnsi="宋体"/>
                <w:szCs w:val="21"/>
              </w:rPr>
              <w:t>0</w:t>
            </w:r>
            <w:r>
              <w:rPr>
                <w:rFonts w:ascii="宋体" w:hAnsi="宋体"/>
                <w:szCs w:val="21"/>
              </w:rPr>
              <w:t>.5</w:t>
            </w:r>
          </w:p>
        </w:tc>
        <w:tc>
          <w:tcPr>
            <w:tcW w:w="612" w:type="pct"/>
            <w:vAlign w:val="center"/>
          </w:tcPr>
          <w:p>
            <w:pPr>
              <w:jc w:val="center"/>
              <w:rPr>
                <w:rFonts w:ascii="宋体" w:hAnsi="宋体"/>
                <w:szCs w:val="21"/>
              </w:rPr>
            </w:pPr>
            <w:r>
              <w:rPr>
                <w:rFonts w:hint="eastAsia" w:ascii="宋体" w:hAnsi="宋体"/>
                <w:szCs w:val="21"/>
              </w:rPr>
              <w:t>0</w:t>
            </w:r>
            <w:r>
              <w:rPr>
                <w:rFonts w:ascii="宋体" w:hAnsi="宋体"/>
                <w:szCs w:val="21"/>
              </w:rPr>
              <w:t>.5</w:t>
            </w:r>
          </w:p>
        </w:tc>
        <w:tc>
          <w:tcPr>
            <w:tcW w:w="53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254" w:type="pc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cs="宋体"/>
                <w:kern w:val="0"/>
                <w:szCs w:val="21"/>
              </w:rPr>
            </w:pPr>
          </w:p>
        </w:tc>
        <w:tc>
          <w:tcPr>
            <w:tcW w:w="1200" w:type="pct"/>
            <w:vAlign w:val="center"/>
          </w:tcPr>
          <w:p>
            <w:pPr>
              <w:rPr>
                <w:rFonts w:ascii="宋体" w:hAnsi="宋体"/>
                <w:szCs w:val="21"/>
              </w:rPr>
            </w:pPr>
            <w:r>
              <w:rPr>
                <w:rFonts w:hint="eastAsia" w:ascii="宋体" w:hAnsi="宋体"/>
                <w:szCs w:val="21"/>
              </w:rPr>
              <w:t>文献检索</w:t>
            </w:r>
          </w:p>
        </w:tc>
        <w:tc>
          <w:tcPr>
            <w:tcW w:w="459" w:type="pct"/>
            <w:vAlign w:val="center"/>
          </w:tcPr>
          <w:p>
            <w:pPr>
              <w:jc w:val="center"/>
              <w:rPr>
                <w:rFonts w:ascii="宋体" w:hAnsi="宋体"/>
                <w:szCs w:val="21"/>
              </w:rPr>
            </w:pPr>
            <w:r>
              <w:rPr>
                <w:rFonts w:ascii="宋体" w:hAnsi="宋体"/>
                <w:szCs w:val="21"/>
              </w:rPr>
              <w:t>0.5</w:t>
            </w:r>
          </w:p>
        </w:tc>
        <w:tc>
          <w:tcPr>
            <w:tcW w:w="612" w:type="pct"/>
            <w:vAlign w:val="center"/>
          </w:tcPr>
          <w:p>
            <w:pPr>
              <w:jc w:val="center"/>
              <w:rPr>
                <w:rFonts w:ascii="宋体" w:hAnsi="宋体"/>
                <w:szCs w:val="21"/>
              </w:rPr>
            </w:pPr>
            <w:r>
              <w:rPr>
                <w:rFonts w:ascii="宋体" w:hAnsi="宋体"/>
                <w:szCs w:val="21"/>
              </w:rPr>
              <w:t>0.5</w:t>
            </w:r>
          </w:p>
        </w:tc>
        <w:tc>
          <w:tcPr>
            <w:tcW w:w="535" w:type="pct"/>
            <w:vAlign w:val="center"/>
          </w:tcPr>
          <w:p>
            <w:pPr>
              <w:widowControl/>
              <w:spacing w:line="360" w:lineRule="auto"/>
              <w:jc w:val="center"/>
              <w:rPr>
                <w:rFonts w:ascii="宋体" w:hAnsi="宋体" w:cs="宋体"/>
                <w:kern w:val="0"/>
                <w:szCs w:val="21"/>
              </w:rPr>
            </w:pPr>
          </w:p>
        </w:tc>
        <w:tc>
          <w:tcPr>
            <w:tcW w:w="1254" w:type="pct"/>
            <w:vAlign w:val="center"/>
          </w:tcPr>
          <w:p>
            <w:pPr>
              <w:rPr>
                <w:rFonts w:ascii="宋体" w:hAnsi="宋体"/>
                <w:szCs w:val="21"/>
              </w:rPr>
            </w:pPr>
            <w:r>
              <w:rPr>
                <w:rFonts w:ascii="宋体" w:hAnsi="宋体"/>
                <w:szCs w:val="21"/>
              </w:rPr>
              <w:t>16</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cs="宋体"/>
                <w:kern w:val="0"/>
                <w:szCs w:val="21"/>
              </w:rPr>
            </w:pPr>
          </w:p>
        </w:tc>
        <w:tc>
          <w:tcPr>
            <w:tcW w:w="1200" w:type="pct"/>
            <w:vAlign w:val="center"/>
          </w:tcPr>
          <w:p>
            <w:pPr>
              <w:rPr>
                <w:rFonts w:ascii="宋体" w:hAnsi="宋体"/>
                <w:szCs w:val="21"/>
              </w:rPr>
            </w:pPr>
            <w:r>
              <w:rPr>
                <w:rFonts w:hint="eastAsia" w:ascii="宋体" w:hAnsi="宋体"/>
                <w:szCs w:val="21"/>
              </w:rPr>
              <w:t>创新创业实践</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spacing w:line="360" w:lineRule="auto"/>
              <w:jc w:val="center"/>
              <w:rPr>
                <w:rFonts w:ascii="宋体" w:hAnsi="宋体" w:cs="宋体"/>
                <w:kern w:val="0"/>
                <w:szCs w:val="21"/>
              </w:rPr>
            </w:pPr>
          </w:p>
        </w:tc>
        <w:tc>
          <w:tcPr>
            <w:tcW w:w="1254" w:type="pct"/>
            <w:vAlign w:val="center"/>
          </w:tcPr>
          <w:p>
            <w:pPr>
              <w:rPr>
                <w:rFonts w:ascii="宋体" w:hAnsi="宋体"/>
                <w:szCs w:val="21"/>
              </w:rPr>
            </w:pPr>
            <w:r>
              <w:rPr>
                <w:rFonts w:hint="eastAsia" w:ascii="宋体" w:hAnsi="宋体"/>
                <w:szCs w:val="21"/>
              </w:rPr>
              <w:t>第7学期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色谱与波谱分析实验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hint="eastAsia" w:ascii="宋体" w:hAnsi="宋体" w:cs="宋体"/>
                <w:color w:val="FF0000"/>
                <w:kern w:val="0"/>
                <w:szCs w:val="21"/>
              </w:rPr>
              <w:t>5</w:t>
            </w:r>
          </w:p>
        </w:tc>
        <w:tc>
          <w:tcPr>
            <w:tcW w:w="1254" w:type="pct"/>
            <w:vAlign w:val="center"/>
          </w:tcPr>
          <w:p>
            <w:pPr>
              <w:rPr>
                <w:rFonts w:ascii="宋体" w:hAnsi="宋体"/>
                <w:szCs w:val="21"/>
              </w:rPr>
            </w:pPr>
            <w:r>
              <w:rPr>
                <w:rFonts w:ascii="宋体" w:hAnsi="宋体"/>
                <w:szCs w:val="21"/>
              </w:rPr>
              <w:t>6</w:t>
            </w: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药物化学实验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hint="eastAsia" w:ascii="宋体" w:hAnsi="宋体" w:cs="宋体"/>
                <w:color w:val="FF0000"/>
                <w:kern w:val="0"/>
                <w:szCs w:val="21"/>
              </w:rPr>
              <w:t>6</w:t>
            </w:r>
          </w:p>
        </w:tc>
        <w:tc>
          <w:tcPr>
            <w:tcW w:w="1254" w:type="pct"/>
            <w:vAlign w:val="center"/>
          </w:tcPr>
          <w:p>
            <w:pPr>
              <w:rPr>
                <w:rFonts w:ascii="宋体" w:hAnsi="宋体"/>
                <w:szCs w:val="21"/>
              </w:rPr>
            </w:pPr>
            <w:r>
              <w:rPr>
                <w:rFonts w:ascii="宋体" w:hAnsi="宋体"/>
                <w:szCs w:val="21"/>
              </w:rPr>
              <w:t>6</w:t>
            </w: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天然药物化学实验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6</w:t>
            </w:r>
          </w:p>
        </w:tc>
        <w:tc>
          <w:tcPr>
            <w:tcW w:w="1254" w:type="pct"/>
            <w:vAlign w:val="center"/>
          </w:tcPr>
          <w:p>
            <w:pPr>
              <w:rPr>
                <w:rFonts w:ascii="宋体" w:hAnsi="宋体"/>
                <w:szCs w:val="21"/>
              </w:rPr>
            </w:pPr>
            <w:r>
              <w:rPr>
                <w:rFonts w:ascii="宋体" w:hAnsi="宋体"/>
                <w:szCs w:val="21"/>
              </w:rPr>
              <w:t>6</w:t>
            </w: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药剂学实验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hint="eastAsia" w:ascii="宋体" w:hAnsi="宋体" w:cs="宋体"/>
                <w:color w:val="FF0000"/>
                <w:kern w:val="0"/>
                <w:szCs w:val="21"/>
              </w:rPr>
              <w:t>5</w:t>
            </w:r>
          </w:p>
        </w:tc>
        <w:tc>
          <w:tcPr>
            <w:tcW w:w="1254" w:type="pct"/>
            <w:vAlign w:val="center"/>
          </w:tcPr>
          <w:p>
            <w:pPr>
              <w:rPr>
                <w:rFonts w:ascii="宋体" w:hAnsi="宋体"/>
                <w:szCs w:val="21"/>
              </w:rPr>
            </w:pPr>
            <w:r>
              <w:rPr>
                <w:rFonts w:ascii="宋体" w:hAnsi="宋体"/>
                <w:szCs w:val="21"/>
              </w:rPr>
              <w:t>6</w:t>
            </w: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药物分析实验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ascii="宋体" w:hAnsi="宋体" w:cs="宋体"/>
                <w:color w:val="000000" w:themeColor="text1"/>
                <w:kern w:val="0"/>
                <w:szCs w:val="21"/>
                <w14:textFill>
                  <w14:solidFill>
                    <w14:schemeClr w14:val="tx1"/>
                  </w14:solidFill>
                </w14:textFill>
              </w:rPr>
              <w:t>6</w:t>
            </w:r>
          </w:p>
        </w:tc>
        <w:tc>
          <w:tcPr>
            <w:tcW w:w="1254" w:type="pct"/>
            <w:vAlign w:val="center"/>
          </w:tcPr>
          <w:p>
            <w:pPr>
              <w:rPr>
                <w:rFonts w:ascii="宋体" w:hAnsi="宋体"/>
                <w:szCs w:val="21"/>
              </w:rPr>
            </w:pPr>
            <w:r>
              <w:rPr>
                <w:rFonts w:ascii="宋体" w:hAnsi="宋体"/>
                <w:szCs w:val="21"/>
              </w:rPr>
              <w:t>6</w:t>
            </w: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药理学实验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hint="eastAsia" w:ascii="宋体" w:hAnsi="宋体" w:cs="宋体"/>
                <w:kern w:val="0"/>
                <w:szCs w:val="21"/>
              </w:rPr>
              <w:t>5</w:t>
            </w:r>
          </w:p>
        </w:tc>
        <w:tc>
          <w:tcPr>
            <w:tcW w:w="1254" w:type="pct"/>
            <w:vAlign w:val="center"/>
          </w:tcPr>
          <w:p>
            <w:pPr>
              <w:rPr>
                <w:rFonts w:ascii="宋体" w:hAnsi="宋体"/>
                <w:szCs w:val="21"/>
              </w:rPr>
            </w:pPr>
            <w:r>
              <w:rPr>
                <w:rFonts w:ascii="宋体" w:hAnsi="宋体"/>
                <w:szCs w:val="21"/>
              </w:rPr>
              <w:t>6</w:t>
            </w: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药物合成反应实验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hint="eastAsia" w:ascii="宋体" w:hAnsi="宋体" w:cs="宋体"/>
                <w:kern w:val="0"/>
                <w:szCs w:val="21"/>
              </w:rPr>
              <w:t>6</w:t>
            </w:r>
          </w:p>
        </w:tc>
        <w:tc>
          <w:tcPr>
            <w:tcW w:w="1254" w:type="pct"/>
            <w:vAlign w:val="center"/>
          </w:tcPr>
          <w:p>
            <w:pPr>
              <w:rPr>
                <w:rFonts w:ascii="宋体" w:hAnsi="宋体"/>
                <w:szCs w:val="21"/>
              </w:rPr>
            </w:pPr>
            <w:r>
              <w:rPr>
                <w:rFonts w:ascii="宋体" w:hAnsi="宋体"/>
                <w:szCs w:val="21"/>
              </w:rPr>
              <w:t>6</w:t>
            </w: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药物分子设计实验</w:t>
            </w:r>
          </w:p>
        </w:tc>
        <w:tc>
          <w:tcPr>
            <w:tcW w:w="459" w:type="pct"/>
            <w:vAlign w:val="center"/>
          </w:tcPr>
          <w:p>
            <w:pPr>
              <w:jc w:val="center"/>
              <w:rPr>
                <w:rFonts w:ascii="宋体" w:hAnsi="宋体"/>
                <w:szCs w:val="21"/>
              </w:rPr>
            </w:pPr>
            <w:r>
              <w:rPr>
                <w:rFonts w:ascii="宋体" w:hAnsi="宋体"/>
                <w:szCs w:val="21"/>
              </w:rPr>
              <w:t>2</w:t>
            </w:r>
          </w:p>
        </w:tc>
        <w:tc>
          <w:tcPr>
            <w:tcW w:w="612" w:type="pct"/>
            <w:vAlign w:val="center"/>
          </w:tcPr>
          <w:p>
            <w:pPr>
              <w:jc w:val="center"/>
              <w:rPr>
                <w:rFonts w:ascii="宋体" w:hAnsi="宋体"/>
                <w:szCs w:val="21"/>
              </w:rPr>
            </w:pPr>
            <w:r>
              <w:rPr>
                <w:rFonts w:ascii="宋体" w:hAnsi="宋体"/>
                <w:szCs w:val="21"/>
              </w:rPr>
              <w:t>2</w:t>
            </w:r>
          </w:p>
        </w:tc>
        <w:tc>
          <w:tcPr>
            <w:tcW w:w="535" w:type="pct"/>
            <w:vAlign w:val="center"/>
          </w:tcPr>
          <w:p>
            <w:pPr>
              <w:widowControl/>
              <w:jc w:val="center"/>
              <w:rPr>
                <w:rFonts w:ascii="宋体" w:hAnsi="宋体" w:cs="宋体"/>
                <w:kern w:val="0"/>
                <w:szCs w:val="21"/>
              </w:rPr>
            </w:pPr>
            <w:r>
              <w:rPr>
                <w:rFonts w:hint="eastAsia" w:ascii="宋体" w:hAnsi="宋体" w:cs="宋体"/>
                <w:kern w:val="0"/>
                <w:szCs w:val="21"/>
              </w:rPr>
              <w:t>6</w:t>
            </w:r>
          </w:p>
        </w:tc>
        <w:tc>
          <w:tcPr>
            <w:tcW w:w="1254" w:type="pct"/>
            <w:vAlign w:val="center"/>
          </w:tcPr>
          <w:p>
            <w:pPr>
              <w:rPr>
                <w:rFonts w:ascii="宋体" w:hAnsi="宋体"/>
                <w:szCs w:val="21"/>
              </w:rPr>
            </w:pPr>
            <w:r>
              <w:rPr>
                <w:rFonts w:ascii="宋体" w:hAnsi="宋体"/>
                <w:szCs w:val="21"/>
              </w:rPr>
              <w:t>64</w:t>
            </w: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认识实习</w:t>
            </w:r>
          </w:p>
        </w:tc>
        <w:tc>
          <w:tcPr>
            <w:tcW w:w="459"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535" w:type="pct"/>
            <w:vAlign w:val="center"/>
          </w:tcPr>
          <w:p>
            <w:pPr>
              <w:widowControl/>
              <w:jc w:val="center"/>
              <w:rPr>
                <w:rFonts w:ascii="宋体" w:hAnsi="宋体" w:cs="宋体"/>
                <w:kern w:val="0"/>
                <w:szCs w:val="21"/>
              </w:rPr>
            </w:pPr>
            <w:r>
              <w:rPr>
                <w:rFonts w:hint="eastAsia" w:ascii="宋体" w:hAnsi="宋体" w:cs="宋体"/>
                <w:kern w:val="0"/>
                <w:szCs w:val="21"/>
              </w:rPr>
              <w:t>5</w:t>
            </w:r>
          </w:p>
        </w:tc>
        <w:tc>
          <w:tcPr>
            <w:tcW w:w="1254" w:type="pct"/>
            <w:vAlign w:val="center"/>
          </w:tcPr>
          <w:p>
            <w:pPr>
              <w:rPr>
                <w:rFonts w:ascii="宋体" w:hAnsi="宋体"/>
                <w:szCs w:val="21"/>
              </w:rPr>
            </w:pPr>
            <w:r>
              <w:rPr>
                <w:rFonts w:hint="eastAsia" w:ascii="宋体" w:hAnsi="宋体"/>
                <w:szCs w:val="21"/>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药学专业实习</w:t>
            </w:r>
          </w:p>
        </w:tc>
        <w:tc>
          <w:tcPr>
            <w:tcW w:w="459" w:type="pct"/>
            <w:vAlign w:val="center"/>
          </w:tcPr>
          <w:p>
            <w:pPr>
              <w:jc w:val="center"/>
              <w:rPr>
                <w:rFonts w:ascii="宋体" w:hAnsi="宋体"/>
                <w:szCs w:val="21"/>
              </w:rPr>
            </w:pPr>
            <w:r>
              <w:rPr>
                <w:rFonts w:ascii="宋体" w:hAnsi="宋体"/>
                <w:szCs w:val="21"/>
              </w:rPr>
              <w:t>6</w:t>
            </w:r>
          </w:p>
        </w:tc>
        <w:tc>
          <w:tcPr>
            <w:tcW w:w="612" w:type="pct"/>
            <w:vAlign w:val="center"/>
          </w:tcPr>
          <w:p>
            <w:pPr>
              <w:jc w:val="center"/>
              <w:rPr>
                <w:rFonts w:ascii="宋体" w:hAnsi="宋体"/>
                <w:szCs w:val="21"/>
              </w:rPr>
            </w:pPr>
            <w:r>
              <w:rPr>
                <w:rFonts w:ascii="宋体" w:hAnsi="宋体"/>
                <w:szCs w:val="21"/>
              </w:rPr>
              <w:t>6</w:t>
            </w:r>
          </w:p>
        </w:tc>
        <w:tc>
          <w:tcPr>
            <w:tcW w:w="535" w:type="pct"/>
            <w:vAlign w:val="center"/>
          </w:tcPr>
          <w:p>
            <w:pPr>
              <w:widowControl/>
              <w:jc w:val="center"/>
              <w:rPr>
                <w:rFonts w:ascii="宋体" w:hAnsi="宋体" w:cs="宋体"/>
                <w:kern w:val="0"/>
                <w:szCs w:val="21"/>
              </w:rPr>
            </w:pPr>
            <w:r>
              <w:rPr>
                <w:rFonts w:hint="eastAsia" w:ascii="宋体" w:hAnsi="宋体" w:cs="宋体"/>
                <w:kern w:val="0"/>
                <w:szCs w:val="21"/>
              </w:rPr>
              <w:t>7</w:t>
            </w:r>
          </w:p>
        </w:tc>
        <w:tc>
          <w:tcPr>
            <w:tcW w:w="1254" w:type="pct"/>
            <w:vAlign w:val="center"/>
          </w:tcPr>
          <w:p>
            <w:pP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毕业设计（论文）</w:t>
            </w:r>
          </w:p>
        </w:tc>
        <w:tc>
          <w:tcPr>
            <w:tcW w:w="459" w:type="pct"/>
            <w:vAlign w:val="center"/>
          </w:tcPr>
          <w:p>
            <w:pPr>
              <w:jc w:val="center"/>
              <w:rPr>
                <w:rFonts w:ascii="宋体" w:hAnsi="宋体"/>
                <w:szCs w:val="21"/>
              </w:rPr>
            </w:pPr>
            <w:r>
              <w:rPr>
                <w:rFonts w:ascii="宋体" w:hAnsi="宋体"/>
                <w:szCs w:val="21"/>
              </w:rPr>
              <w:t>6</w:t>
            </w:r>
          </w:p>
        </w:tc>
        <w:tc>
          <w:tcPr>
            <w:tcW w:w="612" w:type="pct"/>
            <w:vAlign w:val="center"/>
          </w:tcPr>
          <w:p>
            <w:pPr>
              <w:jc w:val="center"/>
              <w:rPr>
                <w:rFonts w:ascii="宋体" w:hAnsi="宋体"/>
                <w:szCs w:val="21"/>
              </w:rPr>
            </w:pPr>
            <w:r>
              <w:rPr>
                <w:rFonts w:ascii="宋体" w:hAnsi="宋体"/>
                <w:szCs w:val="21"/>
              </w:rPr>
              <w:t>6</w:t>
            </w:r>
          </w:p>
        </w:tc>
        <w:tc>
          <w:tcPr>
            <w:tcW w:w="535" w:type="pct"/>
            <w:vAlign w:val="center"/>
          </w:tcPr>
          <w:p>
            <w:pPr>
              <w:widowControl/>
              <w:jc w:val="center"/>
              <w:rPr>
                <w:rFonts w:ascii="宋体" w:hAnsi="宋体" w:cs="宋体"/>
                <w:kern w:val="0"/>
                <w:szCs w:val="21"/>
              </w:rPr>
            </w:pPr>
            <w:r>
              <w:rPr>
                <w:rFonts w:hint="eastAsia" w:ascii="宋体" w:hAnsi="宋体" w:cs="宋体"/>
                <w:kern w:val="0"/>
                <w:szCs w:val="21"/>
              </w:rPr>
              <w:t>8</w:t>
            </w:r>
          </w:p>
        </w:tc>
        <w:tc>
          <w:tcPr>
            <w:tcW w:w="1254" w:type="pct"/>
            <w:vAlign w:val="center"/>
          </w:tcPr>
          <w:p>
            <w:pP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pct"/>
            <w:vAlign w:val="center"/>
          </w:tcPr>
          <w:p>
            <w:pPr>
              <w:widowControl/>
              <w:spacing w:line="360" w:lineRule="auto"/>
              <w:rPr>
                <w:rFonts w:ascii="宋体" w:hAnsi="宋体"/>
                <w:kern w:val="0"/>
                <w:szCs w:val="21"/>
              </w:rPr>
            </w:pPr>
          </w:p>
        </w:tc>
        <w:tc>
          <w:tcPr>
            <w:tcW w:w="1200" w:type="pct"/>
            <w:vAlign w:val="center"/>
          </w:tcPr>
          <w:p>
            <w:pPr>
              <w:rPr>
                <w:rFonts w:ascii="宋体" w:hAnsi="宋体"/>
                <w:szCs w:val="21"/>
              </w:rPr>
            </w:pPr>
            <w:r>
              <w:rPr>
                <w:rFonts w:hint="eastAsia" w:ascii="宋体" w:hAnsi="宋体"/>
                <w:szCs w:val="21"/>
              </w:rPr>
              <w:t>导师制课程</w:t>
            </w:r>
          </w:p>
        </w:tc>
        <w:tc>
          <w:tcPr>
            <w:tcW w:w="459" w:type="pct"/>
            <w:vAlign w:val="center"/>
          </w:tcPr>
          <w:p>
            <w:pPr>
              <w:jc w:val="center"/>
              <w:rPr>
                <w:rFonts w:ascii="宋体" w:hAnsi="宋体"/>
                <w:szCs w:val="21"/>
              </w:rPr>
            </w:pPr>
            <w:r>
              <w:rPr>
                <w:rFonts w:ascii="宋体" w:hAnsi="宋体"/>
                <w:szCs w:val="21"/>
              </w:rPr>
              <w:t>1</w:t>
            </w:r>
          </w:p>
        </w:tc>
        <w:tc>
          <w:tcPr>
            <w:tcW w:w="612" w:type="pct"/>
            <w:vAlign w:val="center"/>
          </w:tcPr>
          <w:p>
            <w:pPr>
              <w:jc w:val="center"/>
              <w:rPr>
                <w:rFonts w:ascii="宋体" w:hAnsi="宋体"/>
                <w:szCs w:val="21"/>
              </w:rPr>
            </w:pPr>
            <w:r>
              <w:rPr>
                <w:rFonts w:ascii="宋体" w:hAnsi="宋体"/>
                <w:szCs w:val="21"/>
              </w:rPr>
              <w:t>1</w:t>
            </w:r>
          </w:p>
        </w:tc>
        <w:tc>
          <w:tcPr>
            <w:tcW w:w="535" w:type="pct"/>
            <w:vAlign w:val="center"/>
          </w:tcPr>
          <w:p>
            <w:pPr>
              <w:widowControl/>
              <w:jc w:val="center"/>
              <w:rPr>
                <w:rFonts w:ascii="宋体" w:hAnsi="宋体" w:cs="宋体"/>
                <w:kern w:val="0"/>
                <w:szCs w:val="21"/>
              </w:rPr>
            </w:pP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8</w:t>
            </w:r>
          </w:p>
        </w:tc>
        <w:tc>
          <w:tcPr>
            <w:tcW w:w="1254" w:type="pct"/>
            <w:vAlign w:val="center"/>
          </w:tcPr>
          <w:p>
            <w:pPr>
              <w:rPr>
                <w:rFonts w:ascii="宋体" w:hAnsi="宋体"/>
                <w:szCs w:val="21"/>
              </w:rPr>
            </w:pPr>
            <w:r>
              <w:rPr>
                <w:rFonts w:ascii="宋体" w:hAnsi="宋体"/>
                <w:szCs w:val="21"/>
              </w:rPr>
              <w:t>64</w:t>
            </w:r>
            <w:r>
              <w:rPr>
                <w:rFonts w:hint="eastAsia" w:ascii="宋体" w:hAnsi="宋体"/>
                <w:szCs w:val="21"/>
              </w:rPr>
              <w:t>学时，实施全程导师制开展科研、竞赛等训练活动，根据学生成果于第</w:t>
            </w:r>
            <w:r>
              <w:rPr>
                <w:rFonts w:ascii="宋体" w:hAnsi="宋体"/>
                <w:szCs w:val="21"/>
              </w:rPr>
              <w:t>8</w:t>
            </w:r>
            <w:r>
              <w:rPr>
                <w:rFonts w:hint="eastAsia" w:ascii="宋体" w:hAnsi="宋体"/>
                <w:szCs w:val="21"/>
              </w:rPr>
              <w:t>学期给予学分</w:t>
            </w:r>
          </w:p>
        </w:tc>
      </w:tr>
    </w:tbl>
    <w:p>
      <w:pPr>
        <w:spacing w:before="120" w:beforeLines="50" w:after="120" w:afterLines="50" w:line="288" w:lineRule="auto"/>
        <w:ind w:firstLine="480" w:firstLineChars="200"/>
        <w:rPr>
          <w:rFonts w:ascii="宋体" w:hAnsi="宋体"/>
          <w:sz w:val="24"/>
        </w:rPr>
      </w:pPr>
      <w:r>
        <w:rPr>
          <w:rFonts w:ascii="宋体" w:hAnsi="宋体"/>
          <w:sz w:val="24"/>
        </w:rPr>
        <w:t>在集中实践环节中，除了学校规定的实践内容外，</w:t>
      </w:r>
      <w:r>
        <w:rPr>
          <w:rFonts w:hint="eastAsia" w:ascii="宋体" w:hAnsi="宋体"/>
          <w:sz w:val="24"/>
        </w:rPr>
        <w:t>课程设置</w:t>
      </w:r>
      <w:r>
        <w:rPr>
          <w:rFonts w:ascii="宋体" w:hAnsi="宋体"/>
          <w:sz w:val="24"/>
        </w:rPr>
        <w:t>重点体现的三个方面：</w:t>
      </w:r>
    </w:p>
    <w:p>
      <w:pPr>
        <w:spacing w:before="120" w:beforeLines="50" w:after="120" w:afterLines="50" w:line="288" w:lineRule="auto"/>
        <w:ind w:firstLine="480" w:firstLineChars="200"/>
        <w:rPr>
          <w:rFonts w:ascii="宋体" w:hAnsi="宋体"/>
          <w:sz w:val="24"/>
        </w:rPr>
      </w:pPr>
      <w:r>
        <w:rPr>
          <w:rFonts w:ascii="宋体" w:hAnsi="宋体"/>
          <w:sz w:val="24"/>
        </w:rPr>
        <w:t>（</w:t>
      </w:r>
      <w:r>
        <w:rPr>
          <w:rFonts w:hint="eastAsia" w:ascii="宋体" w:hAnsi="宋体"/>
          <w:sz w:val="24"/>
        </w:rPr>
        <w:t>1</w:t>
      </w:r>
      <w:r>
        <w:rPr>
          <w:rFonts w:ascii="宋体" w:hAnsi="宋体"/>
          <w:sz w:val="24"/>
        </w:rPr>
        <w:t>）</w:t>
      </w:r>
      <w:r>
        <w:rPr>
          <w:rFonts w:hint="eastAsia" w:ascii="宋体" w:hAnsi="宋体"/>
          <w:sz w:val="24"/>
        </w:rPr>
        <w:t>专业核心课程对应的实验，包括药物化学实验、天然药物化学实验、</w:t>
      </w:r>
      <w:r>
        <w:rPr>
          <w:rFonts w:ascii="宋体" w:hAnsi="宋体"/>
          <w:sz w:val="24"/>
        </w:rPr>
        <w:t>药剂学实验、药物分析实验、药理学实验</w:t>
      </w:r>
      <w:r>
        <w:rPr>
          <w:rFonts w:hint="eastAsia" w:ascii="宋体" w:hAnsi="宋体"/>
          <w:sz w:val="24"/>
        </w:rPr>
        <w:t>、药物分子设计实验和色谱与波谱分析实验，共1</w:t>
      </w:r>
      <w:r>
        <w:rPr>
          <w:rFonts w:ascii="宋体" w:hAnsi="宋体"/>
          <w:sz w:val="24"/>
        </w:rPr>
        <w:t>6学分。</w:t>
      </w:r>
      <w:r>
        <w:rPr>
          <w:rFonts w:hint="eastAsia" w:ascii="宋体" w:hAnsi="宋体"/>
          <w:sz w:val="24"/>
        </w:rPr>
        <w:t>通过专业实验巩固药学学生专业基础知识，提高学生的动手能力。</w:t>
      </w:r>
    </w:p>
    <w:p>
      <w:pPr>
        <w:spacing w:before="120" w:beforeLines="50" w:after="120" w:afterLines="50" w:line="288" w:lineRule="auto"/>
        <w:ind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）药学专业实习。药学学生通过双向选择，可以去制药企业、研究院所、医院或者医药物流进行实习，共6学分。</w:t>
      </w:r>
      <w:r>
        <w:rPr>
          <w:rFonts w:hint="eastAsia" w:ascii="宋体" w:hAnsi="宋体"/>
          <w:sz w:val="24"/>
        </w:rPr>
        <w:t>学生成绩评定由学校和实习单位共同评定。实习单位填写评语，学校根据学生提供的实习报告（不少于5</w:t>
      </w:r>
      <w:r>
        <w:rPr>
          <w:rFonts w:ascii="宋体" w:hAnsi="宋体"/>
          <w:sz w:val="24"/>
        </w:rPr>
        <w:t>000字</w:t>
      </w:r>
      <w:r>
        <w:rPr>
          <w:rFonts w:hint="eastAsia" w:ascii="宋体" w:hAnsi="宋体"/>
          <w:sz w:val="24"/>
        </w:rPr>
        <w:t>）成绩各占5</w:t>
      </w:r>
      <w:r>
        <w:rPr>
          <w:rFonts w:ascii="宋体" w:hAnsi="宋体"/>
          <w:sz w:val="24"/>
        </w:rPr>
        <w:t>0%，</w:t>
      </w:r>
      <w:r>
        <w:rPr>
          <w:rFonts w:hint="eastAsia" w:ascii="宋体" w:hAnsi="宋体"/>
          <w:sz w:val="24"/>
        </w:rPr>
        <w:t>确定药学专业实习成绩。</w:t>
      </w:r>
    </w:p>
    <w:p>
      <w:pPr>
        <w:spacing w:before="120" w:beforeLines="50" w:after="120" w:afterLines="50" w:line="288" w:lineRule="auto"/>
        <w:ind w:firstLine="480" w:firstLineChars="200"/>
        <w:rPr>
          <w:rFonts w:ascii="Times New Roman" w:hAnsi="Times New Roman"/>
          <w:sz w:val="28"/>
          <w:szCs w:val="28"/>
        </w:rPr>
      </w:pPr>
      <w:r>
        <w:rPr>
          <w:rFonts w:hint="eastAsia" w:ascii="宋体" w:hAnsi="宋体"/>
          <w:sz w:val="24"/>
        </w:rPr>
        <w:t>（3）毕业设计（论文）由本校导师或者校外导师提供题目，时间不少于1</w:t>
      </w:r>
      <w:r>
        <w:rPr>
          <w:rFonts w:ascii="宋体" w:hAnsi="宋体"/>
          <w:sz w:val="24"/>
        </w:rPr>
        <w:t>2周，共6学分</w:t>
      </w:r>
      <w:r>
        <w:rPr>
          <w:rFonts w:hint="eastAsia" w:ascii="宋体" w:hAnsi="宋体"/>
          <w:sz w:val="24"/>
        </w:rPr>
        <w:t>。</w:t>
      </w:r>
    </w:p>
    <w:sectPr>
      <w:footerReference r:id="rId3" w:type="default"/>
      <w:pgSz w:w="11910" w:h="16840"/>
      <w:pgMar w:top="1503" w:right="1134" w:bottom="1378" w:left="1531"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宋体.">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070540"/>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4B190"/>
    <w:multiLevelType w:val="singleLevel"/>
    <w:tmpl w:val="5984B19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58"/>
    <w:rsid w:val="00001C05"/>
    <w:rsid w:val="00006AB4"/>
    <w:rsid w:val="000202C5"/>
    <w:rsid w:val="00021903"/>
    <w:rsid w:val="00025A54"/>
    <w:rsid w:val="00027D7E"/>
    <w:rsid w:val="00035BA5"/>
    <w:rsid w:val="000364A7"/>
    <w:rsid w:val="00041184"/>
    <w:rsid w:val="000437FD"/>
    <w:rsid w:val="00045E7A"/>
    <w:rsid w:val="000537F5"/>
    <w:rsid w:val="00053BB4"/>
    <w:rsid w:val="00054586"/>
    <w:rsid w:val="00062B00"/>
    <w:rsid w:val="000703B2"/>
    <w:rsid w:val="00083EA2"/>
    <w:rsid w:val="000844B3"/>
    <w:rsid w:val="00090DE3"/>
    <w:rsid w:val="00097637"/>
    <w:rsid w:val="000A0206"/>
    <w:rsid w:val="000A1A24"/>
    <w:rsid w:val="000A4397"/>
    <w:rsid w:val="000B15CC"/>
    <w:rsid w:val="000B6548"/>
    <w:rsid w:val="000B7576"/>
    <w:rsid w:val="000C3D43"/>
    <w:rsid w:val="000C790B"/>
    <w:rsid w:val="000D1B95"/>
    <w:rsid w:val="000D7EC4"/>
    <w:rsid w:val="000E1947"/>
    <w:rsid w:val="000E2600"/>
    <w:rsid w:val="000E4A4E"/>
    <w:rsid w:val="000E675C"/>
    <w:rsid w:val="000F0596"/>
    <w:rsid w:val="000F0957"/>
    <w:rsid w:val="000F0993"/>
    <w:rsid w:val="000F7C35"/>
    <w:rsid w:val="00100EC3"/>
    <w:rsid w:val="00123383"/>
    <w:rsid w:val="00125497"/>
    <w:rsid w:val="00127BF7"/>
    <w:rsid w:val="00127D9E"/>
    <w:rsid w:val="001346C3"/>
    <w:rsid w:val="00137D85"/>
    <w:rsid w:val="001420A5"/>
    <w:rsid w:val="001434F9"/>
    <w:rsid w:val="00144D9F"/>
    <w:rsid w:val="001473FF"/>
    <w:rsid w:val="00151EFB"/>
    <w:rsid w:val="001546F5"/>
    <w:rsid w:val="001557AC"/>
    <w:rsid w:val="001730D5"/>
    <w:rsid w:val="001763EB"/>
    <w:rsid w:val="00182A0A"/>
    <w:rsid w:val="00182CAB"/>
    <w:rsid w:val="00183B06"/>
    <w:rsid w:val="001845D2"/>
    <w:rsid w:val="0018604D"/>
    <w:rsid w:val="001A422F"/>
    <w:rsid w:val="001B45D3"/>
    <w:rsid w:val="001B6177"/>
    <w:rsid w:val="001B67C8"/>
    <w:rsid w:val="001C3957"/>
    <w:rsid w:val="001C48C8"/>
    <w:rsid w:val="001D3ADB"/>
    <w:rsid w:val="001D6C8B"/>
    <w:rsid w:val="001E00BC"/>
    <w:rsid w:val="001F43BB"/>
    <w:rsid w:val="00205C1A"/>
    <w:rsid w:val="002118F3"/>
    <w:rsid w:val="0021667A"/>
    <w:rsid w:val="00223A04"/>
    <w:rsid w:val="00234EDB"/>
    <w:rsid w:val="00242C7E"/>
    <w:rsid w:val="00244506"/>
    <w:rsid w:val="0025714B"/>
    <w:rsid w:val="00260D77"/>
    <w:rsid w:val="00267862"/>
    <w:rsid w:val="00270D52"/>
    <w:rsid w:val="0027492F"/>
    <w:rsid w:val="00291F62"/>
    <w:rsid w:val="00295F99"/>
    <w:rsid w:val="002B0123"/>
    <w:rsid w:val="002B7497"/>
    <w:rsid w:val="002C1317"/>
    <w:rsid w:val="002C538A"/>
    <w:rsid w:val="002C5821"/>
    <w:rsid w:val="002C5C54"/>
    <w:rsid w:val="002D1D8D"/>
    <w:rsid w:val="002D1F48"/>
    <w:rsid w:val="002D29A0"/>
    <w:rsid w:val="002D4414"/>
    <w:rsid w:val="002D5ED1"/>
    <w:rsid w:val="002E44D7"/>
    <w:rsid w:val="002E76B5"/>
    <w:rsid w:val="002F33D4"/>
    <w:rsid w:val="0030145B"/>
    <w:rsid w:val="003045CB"/>
    <w:rsid w:val="0030731E"/>
    <w:rsid w:val="00310BF2"/>
    <w:rsid w:val="003116C4"/>
    <w:rsid w:val="00322A2B"/>
    <w:rsid w:val="00326C83"/>
    <w:rsid w:val="00330277"/>
    <w:rsid w:val="00334FEC"/>
    <w:rsid w:val="0033727D"/>
    <w:rsid w:val="003608DF"/>
    <w:rsid w:val="003612B5"/>
    <w:rsid w:val="00361F8D"/>
    <w:rsid w:val="0036471C"/>
    <w:rsid w:val="003812AF"/>
    <w:rsid w:val="0038415C"/>
    <w:rsid w:val="00391B65"/>
    <w:rsid w:val="003A1570"/>
    <w:rsid w:val="003B2717"/>
    <w:rsid w:val="003B5D32"/>
    <w:rsid w:val="003B5E32"/>
    <w:rsid w:val="003B6B9D"/>
    <w:rsid w:val="003C3A70"/>
    <w:rsid w:val="003C6BF0"/>
    <w:rsid w:val="003E02B3"/>
    <w:rsid w:val="003E14ED"/>
    <w:rsid w:val="003F22B5"/>
    <w:rsid w:val="003F6889"/>
    <w:rsid w:val="004002DE"/>
    <w:rsid w:val="00404B60"/>
    <w:rsid w:val="00410D02"/>
    <w:rsid w:val="0041587A"/>
    <w:rsid w:val="004257FA"/>
    <w:rsid w:val="00431BDF"/>
    <w:rsid w:val="00451755"/>
    <w:rsid w:val="00451F18"/>
    <w:rsid w:val="004565EA"/>
    <w:rsid w:val="004575C6"/>
    <w:rsid w:val="00462561"/>
    <w:rsid w:val="00467D4D"/>
    <w:rsid w:val="00470700"/>
    <w:rsid w:val="00474B6B"/>
    <w:rsid w:val="00476746"/>
    <w:rsid w:val="004812DA"/>
    <w:rsid w:val="0048162B"/>
    <w:rsid w:val="004A2246"/>
    <w:rsid w:val="004A3345"/>
    <w:rsid w:val="004A6F2C"/>
    <w:rsid w:val="004B3DFD"/>
    <w:rsid w:val="004B7E48"/>
    <w:rsid w:val="004C2813"/>
    <w:rsid w:val="004C289A"/>
    <w:rsid w:val="004D64A9"/>
    <w:rsid w:val="004D74CE"/>
    <w:rsid w:val="00506679"/>
    <w:rsid w:val="00521DB2"/>
    <w:rsid w:val="00527B3E"/>
    <w:rsid w:val="00532134"/>
    <w:rsid w:val="00533B95"/>
    <w:rsid w:val="00533EF9"/>
    <w:rsid w:val="00534B21"/>
    <w:rsid w:val="005508F3"/>
    <w:rsid w:val="00552E01"/>
    <w:rsid w:val="00557096"/>
    <w:rsid w:val="00562267"/>
    <w:rsid w:val="00565DEC"/>
    <w:rsid w:val="00572988"/>
    <w:rsid w:val="005830DD"/>
    <w:rsid w:val="00583196"/>
    <w:rsid w:val="00585AD0"/>
    <w:rsid w:val="00595874"/>
    <w:rsid w:val="005A6BB1"/>
    <w:rsid w:val="005B1FE8"/>
    <w:rsid w:val="005B7DF1"/>
    <w:rsid w:val="005D4DD7"/>
    <w:rsid w:val="005E3E46"/>
    <w:rsid w:val="005E69E4"/>
    <w:rsid w:val="005F01D4"/>
    <w:rsid w:val="005F04FA"/>
    <w:rsid w:val="005F3CF5"/>
    <w:rsid w:val="005F5B55"/>
    <w:rsid w:val="005F60C5"/>
    <w:rsid w:val="00602AC8"/>
    <w:rsid w:val="006111C8"/>
    <w:rsid w:val="00617889"/>
    <w:rsid w:val="00620FB0"/>
    <w:rsid w:val="00626D20"/>
    <w:rsid w:val="00627666"/>
    <w:rsid w:val="00640F72"/>
    <w:rsid w:val="00642C4C"/>
    <w:rsid w:val="00643F82"/>
    <w:rsid w:val="00644F59"/>
    <w:rsid w:val="00653250"/>
    <w:rsid w:val="00653CC7"/>
    <w:rsid w:val="00657823"/>
    <w:rsid w:val="0066152A"/>
    <w:rsid w:val="00667325"/>
    <w:rsid w:val="00674A88"/>
    <w:rsid w:val="00674AD2"/>
    <w:rsid w:val="00684682"/>
    <w:rsid w:val="00685457"/>
    <w:rsid w:val="00696DF8"/>
    <w:rsid w:val="006A64E6"/>
    <w:rsid w:val="006A6A9C"/>
    <w:rsid w:val="006B0C1D"/>
    <w:rsid w:val="006B0FD7"/>
    <w:rsid w:val="006B22EB"/>
    <w:rsid w:val="006B3B72"/>
    <w:rsid w:val="006C5B4C"/>
    <w:rsid w:val="006D2686"/>
    <w:rsid w:val="006E1432"/>
    <w:rsid w:val="006E473E"/>
    <w:rsid w:val="006E769A"/>
    <w:rsid w:val="006F2EAF"/>
    <w:rsid w:val="00707A72"/>
    <w:rsid w:val="00713562"/>
    <w:rsid w:val="0071641F"/>
    <w:rsid w:val="007167E2"/>
    <w:rsid w:val="007225B6"/>
    <w:rsid w:val="007276DD"/>
    <w:rsid w:val="00735DE5"/>
    <w:rsid w:val="00736885"/>
    <w:rsid w:val="0074059F"/>
    <w:rsid w:val="007472A3"/>
    <w:rsid w:val="0075012E"/>
    <w:rsid w:val="00754B23"/>
    <w:rsid w:val="007566B0"/>
    <w:rsid w:val="0075740F"/>
    <w:rsid w:val="00761844"/>
    <w:rsid w:val="00770584"/>
    <w:rsid w:val="007732BC"/>
    <w:rsid w:val="00773A32"/>
    <w:rsid w:val="0078149C"/>
    <w:rsid w:val="00782825"/>
    <w:rsid w:val="007916FB"/>
    <w:rsid w:val="0079333C"/>
    <w:rsid w:val="007946FC"/>
    <w:rsid w:val="0079689B"/>
    <w:rsid w:val="007B496A"/>
    <w:rsid w:val="007B71B9"/>
    <w:rsid w:val="007B7C40"/>
    <w:rsid w:val="007D43A0"/>
    <w:rsid w:val="007F34A7"/>
    <w:rsid w:val="00805234"/>
    <w:rsid w:val="00807EC9"/>
    <w:rsid w:val="0081492E"/>
    <w:rsid w:val="008220DB"/>
    <w:rsid w:val="00824E10"/>
    <w:rsid w:val="008263DA"/>
    <w:rsid w:val="00826F5B"/>
    <w:rsid w:val="00831095"/>
    <w:rsid w:val="00837DB2"/>
    <w:rsid w:val="00840644"/>
    <w:rsid w:val="00845D5B"/>
    <w:rsid w:val="00846939"/>
    <w:rsid w:val="00853600"/>
    <w:rsid w:val="00870454"/>
    <w:rsid w:val="00880FFB"/>
    <w:rsid w:val="008825A1"/>
    <w:rsid w:val="0089433A"/>
    <w:rsid w:val="008A4239"/>
    <w:rsid w:val="008B64C7"/>
    <w:rsid w:val="008B79F8"/>
    <w:rsid w:val="008C6460"/>
    <w:rsid w:val="008D11C4"/>
    <w:rsid w:val="008D434E"/>
    <w:rsid w:val="008D4B74"/>
    <w:rsid w:val="008D5934"/>
    <w:rsid w:val="008D600D"/>
    <w:rsid w:val="008D6C0F"/>
    <w:rsid w:val="008D7F6C"/>
    <w:rsid w:val="008E01B2"/>
    <w:rsid w:val="0090129D"/>
    <w:rsid w:val="0090395B"/>
    <w:rsid w:val="009142B2"/>
    <w:rsid w:val="00915D54"/>
    <w:rsid w:val="00920E91"/>
    <w:rsid w:val="00921369"/>
    <w:rsid w:val="00921792"/>
    <w:rsid w:val="00947198"/>
    <w:rsid w:val="00950B32"/>
    <w:rsid w:val="00952B91"/>
    <w:rsid w:val="00952F74"/>
    <w:rsid w:val="00954031"/>
    <w:rsid w:val="00956332"/>
    <w:rsid w:val="009575E7"/>
    <w:rsid w:val="00970A75"/>
    <w:rsid w:val="00990D34"/>
    <w:rsid w:val="00991181"/>
    <w:rsid w:val="009959AE"/>
    <w:rsid w:val="009A15DC"/>
    <w:rsid w:val="009A3406"/>
    <w:rsid w:val="009A7681"/>
    <w:rsid w:val="009B17A0"/>
    <w:rsid w:val="009B2348"/>
    <w:rsid w:val="009B603A"/>
    <w:rsid w:val="009D26FA"/>
    <w:rsid w:val="009D639E"/>
    <w:rsid w:val="009D795A"/>
    <w:rsid w:val="009E5A15"/>
    <w:rsid w:val="009F1280"/>
    <w:rsid w:val="009F1E4B"/>
    <w:rsid w:val="009F4E23"/>
    <w:rsid w:val="009F7985"/>
    <w:rsid w:val="00A02A82"/>
    <w:rsid w:val="00A04490"/>
    <w:rsid w:val="00A05E5D"/>
    <w:rsid w:val="00A06E6C"/>
    <w:rsid w:val="00A07D2D"/>
    <w:rsid w:val="00A10879"/>
    <w:rsid w:val="00A10B61"/>
    <w:rsid w:val="00A122A3"/>
    <w:rsid w:val="00A22078"/>
    <w:rsid w:val="00A24A23"/>
    <w:rsid w:val="00A25321"/>
    <w:rsid w:val="00A25721"/>
    <w:rsid w:val="00A34643"/>
    <w:rsid w:val="00A34D98"/>
    <w:rsid w:val="00A36597"/>
    <w:rsid w:val="00A533CC"/>
    <w:rsid w:val="00A566CE"/>
    <w:rsid w:val="00A60D00"/>
    <w:rsid w:val="00A62839"/>
    <w:rsid w:val="00A65C1B"/>
    <w:rsid w:val="00A66600"/>
    <w:rsid w:val="00A71CD9"/>
    <w:rsid w:val="00A71E7A"/>
    <w:rsid w:val="00A73383"/>
    <w:rsid w:val="00A82B76"/>
    <w:rsid w:val="00A874C0"/>
    <w:rsid w:val="00A94C32"/>
    <w:rsid w:val="00AA1A43"/>
    <w:rsid w:val="00AA4588"/>
    <w:rsid w:val="00AA6148"/>
    <w:rsid w:val="00AC2287"/>
    <w:rsid w:val="00AD1575"/>
    <w:rsid w:val="00AD289F"/>
    <w:rsid w:val="00AD79B9"/>
    <w:rsid w:val="00AE0156"/>
    <w:rsid w:val="00AE3BB4"/>
    <w:rsid w:val="00AE5D2E"/>
    <w:rsid w:val="00B003A9"/>
    <w:rsid w:val="00B027D7"/>
    <w:rsid w:val="00B145DD"/>
    <w:rsid w:val="00B17E2A"/>
    <w:rsid w:val="00B2107C"/>
    <w:rsid w:val="00B2644A"/>
    <w:rsid w:val="00B4366D"/>
    <w:rsid w:val="00B53E49"/>
    <w:rsid w:val="00B60247"/>
    <w:rsid w:val="00B61E16"/>
    <w:rsid w:val="00B62097"/>
    <w:rsid w:val="00B63157"/>
    <w:rsid w:val="00B64943"/>
    <w:rsid w:val="00B73312"/>
    <w:rsid w:val="00B76F56"/>
    <w:rsid w:val="00B82BD0"/>
    <w:rsid w:val="00BA44C1"/>
    <w:rsid w:val="00BB1891"/>
    <w:rsid w:val="00BB46B3"/>
    <w:rsid w:val="00BB4861"/>
    <w:rsid w:val="00BC11D7"/>
    <w:rsid w:val="00BC1A5F"/>
    <w:rsid w:val="00BC1FDC"/>
    <w:rsid w:val="00BC64B5"/>
    <w:rsid w:val="00BC6710"/>
    <w:rsid w:val="00BD1C2D"/>
    <w:rsid w:val="00BE3A44"/>
    <w:rsid w:val="00BE56F8"/>
    <w:rsid w:val="00BF3EB8"/>
    <w:rsid w:val="00BF4C50"/>
    <w:rsid w:val="00C105D8"/>
    <w:rsid w:val="00C1065A"/>
    <w:rsid w:val="00C220DB"/>
    <w:rsid w:val="00C32A47"/>
    <w:rsid w:val="00C32F81"/>
    <w:rsid w:val="00C36772"/>
    <w:rsid w:val="00C37572"/>
    <w:rsid w:val="00C640B1"/>
    <w:rsid w:val="00C71819"/>
    <w:rsid w:val="00C74F3B"/>
    <w:rsid w:val="00C755CE"/>
    <w:rsid w:val="00C77DD2"/>
    <w:rsid w:val="00C80C34"/>
    <w:rsid w:val="00C83923"/>
    <w:rsid w:val="00C85B31"/>
    <w:rsid w:val="00CA002F"/>
    <w:rsid w:val="00CB00F6"/>
    <w:rsid w:val="00CD6683"/>
    <w:rsid w:val="00CE7EE8"/>
    <w:rsid w:val="00CF1351"/>
    <w:rsid w:val="00CF360A"/>
    <w:rsid w:val="00CF3D6D"/>
    <w:rsid w:val="00D022D8"/>
    <w:rsid w:val="00D040F3"/>
    <w:rsid w:val="00D108D7"/>
    <w:rsid w:val="00D1239C"/>
    <w:rsid w:val="00D12D3F"/>
    <w:rsid w:val="00D1304A"/>
    <w:rsid w:val="00D14A8F"/>
    <w:rsid w:val="00D20C87"/>
    <w:rsid w:val="00D21DEE"/>
    <w:rsid w:val="00D25BB4"/>
    <w:rsid w:val="00D266AC"/>
    <w:rsid w:val="00D30554"/>
    <w:rsid w:val="00D32680"/>
    <w:rsid w:val="00D353C5"/>
    <w:rsid w:val="00D42314"/>
    <w:rsid w:val="00D46DEF"/>
    <w:rsid w:val="00D506FB"/>
    <w:rsid w:val="00D52183"/>
    <w:rsid w:val="00D52F71"/>
    <w:rsid w:val="00D547C9"/>
    <w:rsid w:val="00D55E24"/>
    <w:rsid w:val="00D63FDA"/>
    <w:rsid w:val="00D71B5E"/>
    <w:rsid w:val="00D7459E"/>
    <w:rsid w:val="00D74BD5"/>
    <w:rsid w:val="00D812B0"/>
    <w:rsid w:val="00DB1C7E"/>
    <w:rsid w:val="00DB2B13"/>
    <w:rsid w:val="00DC2F58"/>
    <w:rsid w:val="00DE7A58"/>
    <w:rsid w:val="00DF5DEE"/>
    <w:rsid w:val="00E044C2"/>
    <w:rsid w:val="00E04A9D"/>
    <w:rsid w:val="00E22D61"/>
    <w:rsid w:val="00E242AD"/>
    <w:rsid w:val="00E246E0"/>
    <w:rsid w:val="00E24D1F"/>
    <w:rsid w:val="00E42618"/>
    <w:rsid w:val="00E42D49"/>
    <w:rsid w:val="00E51753"/>
    <w:rsid w:val="00E6311B"/>
    <w:rsid w:val="00E656E6"/>
    <w:rsid w:val="00E672A4"/>
    <w:rsid w:val="00E75247"/>
    <w:rsid w:val="00E84A5C"/>
    <w:rsid w:val="00E84B7E"/>
    <w:rsid w:val="00EA0F21"/>
    <w:rsid w:val="00EA3856"/>
    <w:rsid w:val="00EB043B"/>
    <w:rsid w:val="00EB2E6F"/>
    <w:rsid w:val="00EB59C1"/>
    <w:rsid w:val="00EC3755"/>
    <w:rsid w:val="00EC6CA6"/>
    <w:rsid w:val="00EE403B"/>
    <w:rsid w:val="00EF6CB3"/>
    <w:rsid w:val="00F07608"/>
    <w:rsid w:val="00F12A25"/>
    <w:rsid w:val="00F2243F"/>
    <w:rsid w:val="00F25CB6"/>
    <w:rsid w:val="00F301EF"/>
    <w:rsid w:val="00F44BC1"/>
    <w:rsid w:val="00F46991"/>
    <w:rsid w:val="00F560AA"/>
    <w:rsid w:val="00F63600"/>
    <w:rsid w:val="00F72753"/>
    <w:rsid w:val="00F74EF5"/>
    <w:rsid w:val="00F813A9"/>
    <w:rsid w:val="00F81CAF"/>
    <w:rsid w:val="00F82FC0"/>
    <w:rsid w:val="00F858B8"/>
    <w:rsid w:val="00F979DF"/>
    <w:rsid w:val="00FA4CF6"/>
    <w:rsid w:val="00FB4D96"/>
    <w:rsid w:val="00FB6458"/>
    <w:rsid w:val="00FB76C1"/>
    <w:rsid w:val="00FD57FD"/>
    <w:rsid w:val="00FE4F2E"/>
    <w:rsid w:val="00FF0B2E"/>
    <w:rsid w:val="00FF7218"/>
    <w:rsid w:val="08516894"/>
    <w:rsid w:val="0D27711B"/>
    <w:rsid w:val="0D9175E1"/>
    <w:rsid w:val="10917189"/>
    <w:rsid w:val="12026639"/>
    <w:rsid w:val="12D434CC"/>
    <w:rsid w:val="14081B59"/>
    <w:rsid w:val="15CD15F6"/>
    <w:rsid w:val="1A653E94"/>
    <w:rsid w:val="209A2658"/>
    <w:rsid w:val="20F44653"/>
    <w:rsid w:val="24666D7D"/>
    <w:rsid w:val="2787251E"/>
    <w:rsid w:val="27DE36DB"/>
    <w:rsid w:val="2D0766C5"/>
    <w:rsid w:val="2E4E02DE"/>
    <w:rsid w:val="30360848"/>
    <w:rsid w:val="306451E4"/>
    <w:rsid w:val="38121EE0"/>
    <w:rsid w:val="38415300"/>
    <w:rsid w:val="39F642C1"/>
    <w:rsid w:val="3C510D33"/>
    <w:rsid w:val="445D6BC1"/>
    <w:rsid w:val="45754F25"/>
    <w:rsid w:val="45E94722"/>
    <w:rsid w:val="47066648"/>
    <w:rsid w:val="49D63157"/>
    <w:rsid w:val="4ADE794E"/>
    <w:rsid w:val="4AE5216D"/>
    <w:rsid w:val="4E9C3F21"/>
    <w:rsid w:val="528A4626"/>
    <w:rsid w:val="6033204C"/>
    <w:rsid w:val="668B1FAC"/>
    <w:rsid w:val="684B4FA1"/>
    <w:rsid w:val="6B7F5A4B"/>
    <w:rsid w:val="6D66781C"/>
    <w:rsid w:val="6E2C6C91"/>
    <w:rsid w:val="6EB2319B"/>
    <w:rsid w:val="733A2ACD"/>
    <w:rsid w:val="751D015C"/>
    <w:rsid w:val="7930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0"/>
    <w:qFormat/>
    <w:uiPriority w:val="1"/>
    <w:pPr>
      <w:autoSpaceDE w:val="0"/>
      <w:autoSpaceDN w:val="0"/>
      <w:ind w:left="680"/>
      <w:jc w:val="left"/>
      <w:outlineLvl w:val="1"/>
    </w:pPr>
    <w:rPr>
      <w:rFonts w:ascii="宋体" w:hAnsi="宋体" w:cs="宋体"/>
      <w:b/>
      <w:bCs/>
      <w:kern w:val="0"/>
      <w:sz w:val="28"/>
      <w:szCs w:val="28"/>
      <w:lang w:eastAsia="en-US"/>
    </w:rPr>
  </w:style>
  <w:style w:type="paragraph" w:styleId="3">
    <w:name w:val="heading 4"/>
    <w:basedOn w:val="1"/>
    <w:next w:val="1"/>
    <w:unhideWhenUsed/>
    <w:qFormat/>
    <w:uiPriority w:val="9"/>
    <w:pPr>
      <w:keepNext/>
      <w:keepLines/>
      <w:spacing w:before="120"/>
      <w:outlineLvl w:val="3"/>
    </w:pPr>
    <w:rPr>
      <w:rFonts w:ascii="Calibri Light" w:hAnsi="Calibri Light"/>
      <w:b/>
      <w:b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1"/>
    <w:pPr>
      <w:autoSpaceDE w:val="0"/>
      <w:autoSpaceDN w:val="0"/>
      <w:jc w:val="left"/>
    </w:pPr>
    <w:rPr>
      <w:rFonts w:ascii="仿宋" w:hAnsi="仿宋" w:eastAsia="仿宋" w:cs="仿宋"/>
      <w:kern w:val="0"/>
      <w:sz w:val="28"/>
      <w:szCs w:val="28"/>
      <w:lang w:eastAsia="en-US"/>
    </w:r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rFonts w:hint="eastAsia" w:ascii="宋体" w:hAnsi="宋体" w:eastAsia="宋体" w:cs="宋体"/>
      <w:color w:val="000000"/>
      <w:spacing w:val="0"/>
      <w:sz w:val="18"/>
      <w:szCs w:val="18"/>
      <w:u w:val="none"/>
    </w:rPr>
  </w:style>
  <w:style w:type="character" w:styleId="13">
    <w:name w:val="Emphasis"/>
    <w:basedOn w:val="11"/>
    <w:qFormat/>
    <w:uiPriority w:val="20"/>
  </w:style>
  <w:style w:type="character" w:styleId="14">
    <w:name w:val="Hyperlink"/>
    <w:basedOn w:val="11"/>
    <w:semiHidden/>
    <w:unhideWhenUsed/>
    <w:qFormat/>
    <w:uiPriority w:val="99"/>
    <w:rPr>
      <w:rFonts w:hint="eastAsia" w:ascii="宋体" w:hAnsi="宋体" w:eastAsia="宋体" w:cs="宋体"/>
      <w:color w:val="000000"/>
      <w:spacing w:val="0"/>
      <w:sz w:val="18"/>
      <w:szCs w:val="18"/>
      <w:u w:val="none"/>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paragraph" w:styleId="17">
    <w:name w:val="List Paragraph"/>
    <w:basedOn w:val="1"/>
    <w:qFormat/>
    <w:uiPriority w:val="99"/>
    <w:pPr>
      <w:ind w:firstLine="420" w:firstLineChars="200"/>
    </w:pPr>
  </w:style>
  <w:style w:type="character" w:customStyle="1" w:styleId="18">
    <w:name w:val="批注框文本 Char"/>
    <w:basedOn w:val="11"/>
    <w:link w:val="5"/>
    <w:semiHidden/>
    <w:qFormat/>
    <w:uiPriority w:val="99"/>
    <w:rPr>
      <w:rFonts w:ascii="Calibri" w:hAnsi="Calibri" w:eastAsia="宋体" w:cs="Times New Roman"/>
      <w:kern w:val="2"/>
      <w:sz w:val="18"/>
      <w:szCs w:val="18"/>
    </w:rPr>
  </w:style>
  <w:style w:type="character" w:customStyle="1" w:styleId="19">
    <w:name w:val="正文文本 Char"/>
    <w:basedOn w:val="11"/>
    <w:link w:val="4"/>
    <w:qFormat/>
    <w:uiPriority w:val="1"/>
    <w:rPr>
      <w:rFonts w:ascii="仿宋" w:hAnsi="仿宋" w:eastAsia="仿宋" w:cs="仿宋"/>
      <w:sz w:val="28"/>
      <w:szCs w:val="28"/>
      <w:lang w:eastAsia="en-US"/>
    </w:rPr>
  </w:style>
  <w:style w:type="character" w:customStyle="1" w:styleId="20">
    <w:name w:val="标题 2 Char"/>
    <w:basedOn w:val="11"/>
    <w:link w:val="2"/>
    <w:qFormat/>
    <w:uiPriority w:val="1"/>
    <w:rPr>
      <w:rFonts w:ascii="宋体" w:hAnsi="宋体" w:eastAsia="宋体" w:cs="宋体"/>
      <w:b/>
      <w:bCs/>
      <w:sz w:val="28"/>
      <w:szCs w:val="28"/>
      <w:lang w:eastAsia="en-US"/>
    </w:rPr>
  </w:style>
  <w:style w:type="table" w:customStyle="1" w:styleId="2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3">
    <w:name w:val="font01"/>
    <w:basedOn w:val="11"/>
    <w:qFormat/>
    <w:uiPriority w:val="0"/>
    <w:rPr>
      <w:rFonts w:hint="default" w:ascii="仿宋_GB2312" w:eastAsia="仿宋_GB2312" w:cs="仿宋_GB2312"/>
      <w:color w:val="FF0000"/>
      <w:sz w:val="20"/>
      <w:szCs w:val="20"/>
      <w:u w:val="none"/>
    </w:rPr>
  </w:style>
  <w:style w:type="character" w:customStyle="1" w:styleId="24">
    <w:name w:val="font31"/>
    <w:basedOn w:val="11"/>
    <w:qFormat/>
    <w:uiPriority w:val="0"/>
    <w:rPr>
      <w:rFonts w:hint="default" w:ascii="仿宋_GB2312" w:eastAsia="仿宋_GB2312" w:cs="仿宋_GB2312"/>
      <w:color w:val="000000"/>
      <w:sz w:val="20"/>
      <w:szCs w:val="20"/>
      <w:u w:val="none"/>
    </w:rPr>
  </w:style>
  <w:style w:type="character" w:customStyle="1" w:styleId="25">
    <w:name w:val="font11"/>
    <w:basedOn w:val="11"/>
    <w:qFormat/>
    <w:uiPriority w:val="0"/>
    <w:rPr>
      <w:rFonts w:hint="eastAsia" w:ascii="宋体" w:hAnsi="宋体" w:eastAsia="宋体" w:cs="宋体"/>
      <w:b/>
      <w:color w:val="000000"/>
      <w:sz w:val="20"/>
      <w:szCs w:val="20"/>
      <w:u w:val="none"/>
    </w:rPr>
  </w:style>
  <w:style w:type="character" w:customStyle="1" w:styleId="26">
    <w:name w:val="price"/>
    <w:basedOn w:val="11"/>
    <w:qFormat/>
    <w:uiPriority w:val="0"/>
    <w:rPr>
      <w:b/>
      <w:color w:val="FF0000"/>
      <w:sz w:val="27"/>
      <w:szCs w:val="27"/>
    </w:rPr>
  </w:style>
  <w:style w:type="character" w:customStyle="1" w:styleId="27">
    <w:name w:val="n2"/>
    <w:basedOn w:val="11"/>
    <w:qFormat/>
    <w:uiPriority w:val="0"/>
  </w:style>
  <w:style w:type="character" w:customStyle="1" w:styleId="28">
    <w:name w:val="newslist_time"/>
    <w:basedOn w:val="11"/>
    <w:qFormat/>
    <w:uiPriority w:val="0"/>
  </w:style>
  <w:style w:type="character" w:customStyle="1" w:styleId="29">
    <w:name w:val="newslist_time1"/>
    <w:basedOn w:val="11"/>
    <w:qFormat/>
    <w:uiPriority w:val="0"/>
  </w:style>
  <w:style w:type="character" w:customStyle="1" w:styleId="30">
    <w:name w:val="newslist_time2"/>
    <w:basedOn w:val="11"/>
    <w:qFormat/>
    <w:uiPriority w:val="0"/>
    <w:rPr>
      <w:color w:val="666666"/>
    </w:rPr>
  </w:style>
  <w:style w:type="character" w:customStyle="1" w:styleId="31">
    <w:name w:val="n1"/>
    <w:basedOn w:val="11"/>
    <w:qFormat/>
    <w:uiPriority w:val="0"/>
  </w:style>
  <w:style w:type="character" w:customStyle="1" w:styleId="32">
    <w:name w:val="curr"/>
    <w:basedOn w:val="11"/>
    <w:qFormat/>
    <w:uiPriority w:val="0"/>
    <w:rPr>
      <w:bdr w:val="single" w:color="FF6701" w:sz="6" w:space="0"/>
      <w:shd w:val="clear" w:color="auto" w:fill="FFFFFF"/>
    </w:rPr>
  </w:style>
  <w:style w:type="character" w:customStyle="1" w:styleId="33">
    <w:name w:val="n4"/>
    <w:basedOn w:val="11"/>
    <w:qFormat/>
    <w:uiPriority w:val="0"/>
  </w:style>
  <w:style w:type="character" w:customStyle="1" w:styleId="34">
    <w:name w:val="more"/>
    <w:basedOn w:val="11"/>
    <w:qFormat/>
    <w:uiPriority w:val="0"/>
  </w:style>
  <w:style w:type="character" w:customStyle="1" w:styleId="35">
    <w:name w:val="more1"/>
    <w:basedOn w:val="11"/>
    <w:qFormat/>
    <w:uiPriority w:val="0"/>
  </w:style>
  <w:style w:type="character" w:customStyle="1" w:styleId="36">
    <w:name w:val="more2"/>
    <w:basedOn w:val="11"/>
    <w:qFormat/>
    <w:uiPriority w:val="0"/>
  </w:style>
  <w:style w:type="character" w:customStyle="1" w:styleId="37">
    <w:name w:val="more3"/>
    <w:basedOn w:val="11"/>
    <w:qFormat/>
    <w:uiPriority w:val="0"/>
  </w:style>
  <w:style w:type="character" w:customStyle="1" w:styleId="38">
    <w:name w:val="txt"/>
    <w:basedOn w:val="11"/>
    <w:qFormat/>
    <w:uiPriority w:val="0"/>
    <w:rPr>
      <w:rFonts w:ascii="Arial" w:hAnsi="Arial" w:cs="Arial"/>
      <w:color w:val="646464"/>
      <w:bdr w:val="single" w:color="C9C8CE" w:sz="6" w:space="0"/>
      <w:shd w:val="clear" w:color="auto" w:fill="FFFFFF"/>
    </w:rPr>
  </w:style>
  <w:style w:type="character" w:customStyle="1" w:styleId="39">
    <w:name w:val="item-name"/>
    <w:basedOn w:val="11"/>
    <w:qFormat/>
    <w:uiPriority w:val="0"/>
  </w:style>
  <w:style w:type="character" w:customStyle="1" w:styleId="40">
    <w:name w:val="item-name1"/>
    <w:basedOn w:val="11"/>
    <w:qFormat/>
    <w:uiPriority w:val="0"/>
  </w:style>
  <w:style w:type="character" w:customStyle="1" w:styleId="41">
    <w:name w:val="n10"/>
    <w:basedOn w:val="11"/>
    <w:qFormat/>
    <w:uiPriority w:val="0"/>
  </w:style>
  <w:style w:type="character" w:customStyle="1" w:styleId="42">
    <w:name w:val="n3"/>
    <w:basedOn w:val="11"/>
    <w:qFormat/>
    <w:uiPriority w:val="0"/>
  </w:style>
  <w:style w:type="character" w:customStyle="1" w:styleId="43">
    <w:name w:val="n5"/>
    <w:basedOn w:val="11"/>
    <w:qFormat/>
    <w:uiPriority w:val="0"/>
  </w:style>
  <w:style w:type="character" w:customStyle="1" w:styleId="44">
    <w:name w:val="n6"/>
    <w:basedOn w:val="11"/>
    <w:qFormat/>
    <w:uiPriority w:val="0"/>
  </w:style>
  <w:style w:type="character" w:customStyle="1" w:styleId="45">
    <w:name w:val="n7"/>
    <w:basedOn w:val="11"/>
    <w:qFormat/>
    <w:uiPriority w:val="0"/>
  </w:style>
  <w:style w:type="character" w:customStyle="1" w:styleId="46">
    <w:name w:val="n8"/>
    <w:basedOn w:val="11"/>
    <w:qFormat/>
    <w:uiPriority w:val="0"/>
  </w:style>
  <w:style w:type="character" w:customStyle="1" w:styleId="47">
    <w:name w:val="n9"/>
    <w:basedOn w:val="11"/>
    <w:qFormat/>
    <w:uiPriority w:val="0"/>
  </w:style>
  <w:style w:type="character" w:customStyle="1" w:styleId="48">
    <w:name w:val="ddmove"/>
    <w:basedOn w:val="11"/>
    <w:qFormat/>
    <w:uiPriority w:val="0"/>
    <w:rPr>
      <w:rFonts w:hint="default" w:ascii="Verdana" w:hAnsi="Verdana" w:cs="Verdana"/>
      <w:color w:val="999999"/>
      <w:sz w:val="13"/>
      <w:szCs w:val="13"/>
      <w:u w:val="none"/>
    </w:rPr>
  </w:style>
  <w:style w:type="character" w:customStyle="1" w:styleId="49">
    <w:name w:val="share"/>
    <w:basedOn w:val="11"/>
    <w:qFormat/>
    <w:uiPriority w:val="0"/>
  </w:style>
  <w:style w:type="character" w:customStyle="1" w:styleId="50">
    <w:name w:val="tagico"/>
    <w:basedOn w:val="11"/>
    <w:qFormat/>
    <w:uiPriority w:val="0"/>
  </w:style>
  <w:style w:type="character" w:customStyle="1" w:styleId="51">
    <w:name w:val="hits"/>
    <w:basedOn w:val="11"/>
    <w:qFormat/>
    <w:uiPriority w:val="0"/>
  </w:style>
  <w:style w:type="character" w:customStyle="1" w:styleId="52">
    <w:name w:val="pinglun"/>
    <w:basedOn w:val="11"/>
    <w:qFormat/>
    <w:uiPriority w:val="0"/>
  </w:style>
  <w:style w:type="character" w:customStyle="1" w:styleId="53">
    <w:name w:val="r"/>
    <w:basedOn w:val="11"/>
    <w:qFormat/>
    <w:uiPriority w:val="0"/>
  </w:style>
  <w:style w:type="character" w:customStyle="1" w:styleId="54">
    <w:name w:val="more4"/>
    <w:basedOn w:val="11"/>
    <w:qFormat/>
    <w:uiPriority w:val="0"/>
  </w:style>
  <w:style w:type="character" w:customStyle="1" w:styleId="55">
    <w:name w:val="more5"/>
    <w:basedOn w:val="11"/>
    <w:qFormat/>
    <w:uiPriority w:val="0"/>
  </w:style>
  <w:style w:type="character" w:customStyle="1" w:styleId="56">
    <w:name w:val="more6"/>
    <w:basedOn w:val="11"/>
    <w:qFormat/>
    <w:uiPriority w:val="0"/>
  </w:style>
  <w:style w:type="character" w:customStyle="1" w:styleId="57">
    <w:name w:val="more7"/>
    <w:basedOn w:val="11"/>
    <w:qFormat/>
    <w:uiPriority w:val="0"/>
  </w:style>
  <w:style w:type="character" w:customStyle="1" w:styleId="58">
    <w:name w:val="txt2"/>
    <w:basedOn w:val="11"/>
    <w:qFormat/>
    <w:uiPriority w:val="0"/>
    <w:rPr>
      <w:rFonts w:ascii="Arial" w:hAnsi="Arial" w:cs="Arial"/>
      <w:color w:val="646464"/>
      <w:bdr w:val="single" w:color="C9C8CE" w:sz="6" w:space="0"/>
      <w:shd w:val="clear" w:color="auto" w:fill="FFFFFF"/>
    </w:rPr>
  </w:style>
  <w:style w:type="paragraph" w:customStyle="1" w:styleId="5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60">
    <w:name w:val="样式1"/>
    <w:basedOn w:val="1"/>
    <w:link w:val="61"/>
    <w:qFormat/>
    <w:uiPriority w:val="0"/>
    <w:pPr>
      <w:widowControl/>
      <w:spacing w:line="360" w:lineRule="auto"/>
    </w:pPr>
    <w:rPr>
      <w:rFonts w:ascii="Times New Roman" w:hAnsi="Times New Roman" w:cs="宋体"/>
      <w:color w:val="000000" w:themeColor="text1"/>
      <w:kern w:val="0"/>
      <w:sz w:val="24"/>
      <w14:textFill>
        <w14:solidFill>
          <w14:schemeClr w14:val="tx1"/>
        </w14:solidFill>
      </w14:textFill>
    </w:rPr>
  </w:style>
  <w:style w:type="character" w:customStyle="1" w:styleId="61">
    <w:name w:val="样式1 Char"/>
    <w:basedOn w:val="11"/>
    <w:link w:val="60"/>
    <w:qFormat/>
    <w:uiPriority w:val="0"/>
    <w:rPr>
      <w:rFonts w:ascii="Times New Roman" w:hAnsi="Times New Roman" w:eastAsia="宋体" w:cs="宋体"/>
      <w:color w:val="000000" w:themeColor="text1"/>
      <w:sz w:val="24"/>
      <w:szCs w:val="24"/>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EFE7-64B1-4035-B710-845D4837F21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8477</Words>
  <Characters>8833</Characters>
  <Lines>72</Lines>
  <Paragraphs>20</Paragraphs>
  <TotalTime>1</TotalTime>
  <ScaleCrop>false</ScaleCrop>
  <LinksUpToDate>false</LinksUpToDate>
  <CharactersWithSpaces>8922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2020-01-11T11:15:00Z</dcterms:created>
  <dc:creator>xtzj</dc:creator>
  <cp:lastModifiedBy>帕</cp:lastModifiedBy>
  <cp:lastPrinted>2020-05-14T09:11:00Z</cp:lastPrinted>
  <dcterms:modified xsi:type="dcterms:W3CDTF">2022-04-20T08:59:40Z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08E8EA89EFD44434BFB89895A2FE4936</vt:lpwstr>
  </property>
</Properties>
</file>