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989" w:rightChars="-471"/>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药学专业本科培养计划</w:t>
      </w:r>
    </w:p>
    <w:p>
      <w:pPr>
        <w:ind w:right="-989" w:rightChars="-471"/>
        <w:jc w:val="center"/>
        <w:rPr>
          <w:rFonts w:ascii="Times New Roman" w:hAnsi="Times New Roman"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（20</w:t>
      </w:r>
      <w:r>
        <w:rPr>
          <w:rFonts w:ascii="黑体" w:hAnsi="黑体" w:eastAsia="黑体" w:cs="黑体"/>
          <w:b/>
          <w:bCs/>
          <w:color w:val="000000" w:themeColor="text1"/>
          <w:sz w:val="36"/>
          <w:szCs w:val="36"/>
          <w14:textFill>
            <w14:solidFill>
              <w14:schemeClr w14:val="tx1"/>
            </w14:solidFill>
          </w14:textFill>
        </w:rPr>
        <w:t>20</w:t>
      </w:r>
      <w:r>
        <w:rPr>
          <w:rFonts w:hint="eastAsia" w:ascii="黑体" w:hAnsi="黑体" w:eastAsia="黑体" w:cs="黑体"/>
          <w:b/>
          <w:bCs/>
          <w:color w:val="000000" w:themeColor="text1"/>
          <w:sz w:val="36"/>
          <w:szCs w:val="36"/>
          <w14:textFill>
            <w14:solidFill>
              <w14:schemeClr w14:val="tx1"/>
            </w14:solidFill>
          </w14:textFill>
        </w:rPr>
        <w:t>版）</w:t>
      </w:r>
    </w:p>
    <w:p>
      <w:pPr>
        <w:spacing w:before="240" w:after="240"/>
        <w:rPr>
          <w:rFonts w:ascii="Times New Roman" w:hAnsi="Times New Roman"/>
          <w:b/>
          <w:bCs/>
          <w:color w:val="000000" w:themeColor="text1"/>
          <w:sz w:val="28"/>
          <w:szCs w:val="28"/>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一、专业名称（中英文）</w:t>
      </w:r>
    </w:p>
    <w:p>
      <w:pPr>
        <w:widowControl/>
        <w:spacing w:line="360"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药学（</w:t>
      </w:r>
      <w:r>
        <w:rPr>
          <w:rFonts w:ascii="Times New Roman" w:hAnsi="Times New Roman" w:cs="宋体"/>
          <w:color w:val="000000" w:themeColor="text1"/>
          <w:kern w:val="0"/>
          <w:sz w:val="24"/>
          <w14:textFill>
            <w14:solidFill>
              <w14:schemeClr w14:val="tx1"/>
            </w14:solidFill>
          </w14:textFill>
        </w:rPr>
        <w:t>Pharmacy</w:t>
      </w:r>
      <w:r>
        <w:rPr>
          <w:rFonts w:hint="eastAsia" w:ascii="Times New Roman" w:hAnsi="Times New Roman" w:cs="宋体"/>
          <w:color w:val="000000" w:themeColor="text1"/>
          <w:kern w:val="0"/>
          <w:sz w:val="24"/>
          <w14:textFill>
            <w14:solidFill>
              <w14:schemeClr w14:val="tx1"/>
            </w14:solidFill>
          </w14:textFill>
        </w:rPr>
        <w:t>）</w:t>
      </w:r>
    </w:p>
    <w:p>
      <w:pPr>
        <w:widowControl/>
        <w:spacing w:before="240" w:after="240" w:line="360" w:lineRule="auto"/>
        <w:rPr>
          <w:rFonts w:ascii="Times New Roman" w:hAnsi="Times New Roman" w:cs="宋体"/>
          <w:b/>
          <w:color w:val="000000" w:themeColor="text1"/>
          <w:kern w:val="0"/>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二、专业代码</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（一）专业代码：</w:t>
      </w:r>
      <w:r>
        <w:rPr>
          <w:rFonts w:ascii="宋体" w:hAnsi="宋体" w:cs="宋体"/>
          <w:b/>
          <w:color w:val="000000" w:themeColor="text1"/>
          <w:kern w:val="0"/>
          <w:sz w:val="24"/>
          <w14:textFill>
            <w14:solidFill>
              <w14:schemeClr w14:val="tx1"/>
            </w14:solidFill>
          </w14:textFill>
        </w:rPr>
        <w:t>100701</w:t>
      </w:r>
      <w:r>
        <w:rPr>
          <w:rFonts w:hint="eastAsia" w:ascii="Times New Roman" w:hAnsi="Times New Roman" w:cs="宋体"/>
          <w:b/>
          <w:color w:val="000000" w:themeColor="text1"/>
          <w:kern w:val="0"/>
          <w:sz w:val="24"/>
          <w14:textFill>
            <w14:solidFill>
              <w14:schemeClr w14:val="tx1"/>
            </w14:solidFill>
          </w14:textFill>
        </w:rPr>
        <w:t>；</w:t>
      </w:r>
      <w:r>
        <w:rPr>
          <w:rFonts w:ascii="Times New Roman" w:hAnsi="Times New Roman" w:cs="宋体"/>
          <w:b/>
          <w:color w:val="000000" w:themeColor="text1"/>
          <w:kern w:val="0"/>
          <w:sz w:val="24"/>
          <w14:textFill>
            <w14:solidFill>
              <w14:schemeClr w14:val="tx1"/>
            </w14:solidFill>
          </w14:textFill>
        </w:rPr>
        <w:t xml:space="preserve"> </w:t>
      </w:r>
    </w:p>
    <w:p>
      <w:pPr>
        <w:widowControl/>
        <w:spacing w:line="360" w:lineRule="auto"/>
        <w:rPr>
          <w:rFonts w:ascii="Times New Roman" w:hAnsi="Times New Roman" w:cs="宋体"/>
          <w:color w:val="000000" w:themeColor="text1"/>
          <w:kern w:val="0"/>
          <w:sz w:val="24"/>
          <w14:textFill>
            <w14:solidFill>
              <w14:schemeClr w14:val="tx1"/>
            </w14:solidFill>
          </w14:textFill>
        </w:rPr>
      </w:pPr>
      <w:bookmarkStart w:id="0" w:name="_Toc436907732"/>
      <w:bookmarkStart w:id="1" w:name="_Toc475493074"/>
      <w:r>
        <w:rPr>
          <w:rFonts w:hint="eastAsia" w:ascii="宋体" w:hAnsi="宋体" w:cs="宋体"/>
          <w:b/>
          <w:color w:val="000000" w:themeColor="text1"/>
          <w:kern w:val="0"/>
          <w:sz w:val="24"/>
          <w14:textFill>
            <w14:solidFill>
              <w14:schemeClr w14:val="tx1"/>
            </w14:solidFill>
          </w14:textFill>
        </w:rPr>
        <w:t>（二）专业学制：</w:t>
      </w:r>
      <w:bookmarkEnd w:id="0"/>
      <w:bookmarkEnd w:id="1"/>
      <w:r>
        <w:rPr>
          <w:rFonts w:hint="eastAsia" w:ascii="Times New Roman" w:hAnsi="Times New Roman" w:cs="宋体"/>
          <w:color w:val="000000" w:themeColor="text1"/>
          <w:kern w:val="0"/>
          <w:sz w:val="24"/>
          <w14:textFill>
            <w14:solidFill>
              <w14:schemeClr w14:val="tx1"/>
            </w14:solidFill>
          </w14:textFill>
        </w:rPr>
        <w:t>本专业学制4年，按照学分制管理，最长修业年限6年。</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三、授予学位</w:t>
      </w:r>
    </w:p>
    <w:p>
      <w:pPr>
        <w:widowControl/>
        <w:spacing w:line="360"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授予理学学士</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四、专业简介、专业特色及校外培养形式</w:t>
      </w:r>
    </w:p>
    <w:p>
      <w:pPr>
        <w:widowControl/>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（一）专业简介</w:t>
      </w:r>
    </w:p>
    <w:p>
      <w:pPr>
        <w:widowControl/>
        <w:spacing w:before="120" w:beforeLines="50" w:after="120" w:afterLines="50" w:line="288" w:lineRule="auto"/>
        <w:ind w:firstLine="480" w:firstLineChars="200"/>
        <w:rPr>
          <w:rFonts w:ascii="Times New Roman" w:hAnsi="Times New Roman" w:cs="宋体"/>
          <w:strike/>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广西大学于2016年12月2</w:t>
      </w:r>
      <w:r>
        <w:rPr>
          <w:rFonts w:ascii="Times New Roman" w:hAnsi="Times New Roman" w:cs="宋体"/>
          <w:color w:val="000000" w:themeColor="text1"/>
          <w:kern w:val="0"/>
          <w:sz w:val="24"/>
          <w14:textFill>
            <w14:solidFill>
              <w14:schemeClr w14:val="tx1"/>
            </w14:solidFill>
          </w14:textFill>
        </w:rPr>
        <w:t>8</w:t>
      </w:r>
      <w:r>
        <w:rPr>
          <w:rFonts w:hint="eastAsia" w:ascii="Times New Roman" w:hAnsi="Times New Roman" w:cs="宋体"/>
          <w:color w:val="000000" w:themeColor="text1"/>
          <w:kern w:val="0"/>
          <w:sz w:val="24"/>
          <w14:textFill>
            <w14:solidFill>
              <w14:schemeClr w14:val="tx1"/>
            </w14:solidFill>
          </w14:textFill>
        </w:rPr>
        <w:t>日正式成立医学院，以满足建设综合性研究型大学的需要。药学专业2</w:t>
      </w:r>
      <w:r>
        <w:rPr>
          <w:rFonts w:ascii="Times New Roman" w:hAnsi="Times New Roman" w:cs="宋体"/>
          <w:color w:val="000000" w:themeColor="text1"/>
          <w:kern w:val="0"/>
          <w:sz w:val="24"/>
          <w14:textFill>
            <w14:solidFill>
              <w14:schemeClr w14:val="tx1"/>
            </w14:solidFill>
          </w14:textFill>
        </w:rPr>
        <w:t>019年开始招</w:t>
      </w:r>
      <w:r>
        <w:rPr>
          <w:rFonts w:hint="eastAsia" w:ascii="Times New Roman" w:hAnsi="Times New Roman" w:cs="宋体"/>
          <w:color w:val="000000" w:themeColor="text1"/>
          <w:kern w:val="0"/>
          <w:sz w:val="24"/>
          <w14:textFill>
            <w14:solidFill>
              <w14:schemeClr w14:val="tx1"/>
            </w14:solidFill>
          </w14:textFill>
        </w:rPr>
        <w:t>生，</w:t>
      </w:r>
      <w:r>
        <w:rPr>
          <w:rFonts w:ascii="Times New Roman" w:hAnsi="Times New Roman" w:cs="宋体"/>
          <w:color w:val="000000" w:themeColor="text1"/>
          <w:kern w:val="0"/>
          <w:sz w:val="24"/>
          <w14:textFill>
            <w14:solidFill>
              <w14:schemeClr w14:val="tx1"/>
            </w14:solidFill>
          </w14:textFill>
        </w:rPr>
        <w:t>与医学院中</w:t>
      </w:r>
      <w:r>
        <w:rPr>
          <w:rFonts w:hint="eastAsia" w:ascii="Times New Roman" w:hAnsi="Times New Roman" w:cs="宋体"/>
          <w:color w:val="000000" w:themeColor="text1"/>
          <w:kern w:val="0"/>
          <w:sz w:val="24"/>
          <w14:textFill>
            <w14:solidFill>
              <w14:schemeClr w14:val="tx1"/>
            </w14:solidFill>
          </w14:textFill>
        </w:rPr>
        <w:t>具有多年办学历史的制药工程专业以及生物制药专业形成很好的交叉和互补优势。药学专业根据学校“立足广西，服务全国，辐射东盟，面向世界，培养德智体美劳全面发展，具有社会责任感、法治意识、创新精神、实践能力和国际视野的创新型</w:t>
      </w:r>
      <w:r>
        <w:rPr>
          <w:rFonts w:hint="eastAsia" w:ascii="Times New Roman" w:hAnsi="Times New Roman" w:cs="宋体"/>
          <w:color w:val="000000" w:themeColor="text1"/>
          <w:kern w:val="0"/>
          <w:sz w:val="24"/>
          <w:lang w:eastAsia="zh-CN"/>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高素质人才”的培养目标和“高水平、有特色”的办学要求，基于“重基础，厚实践”的理念制定和实施人才培养方案，通过交叉融合学科知识，紧密结合理论课程与实验教学构建教学体系，培养</w:t>
      </w:r>
      <w:r>
        <w:rPr>
          <w:rFonts w:hint="eastAsia" w:ascii="Times New Roman" w:hAnsi="Times New Roman" w:cs="宋体"/>
          <w:color w:val="000000" w:themeColor="text1"/>
          <w:kern w:val="0"/>
          <w:sz w:val="24"/>
          <w:lang w:val="en-US" w:eastAsia="zh-CN"/>
          <w14:textFill>
            <w14:solidFill>
              <w14:schemeClr w14:val="tx1"/>
            </w14:solidFill>
          </w14:textFill>
        </w:rPr>
        <w:t>创</w:t>
      </w:r>
      <w:r>
        <w:rPr>
          <w:rFonts w:hint="eastAsia" w:ascii="Times New Roman" w:hAnsi="Times New Roman" w:cs="宋体"/>
          <w:color w:val="000000" w:themeColor="text1"/>
          <w:kern w:val="0"/>
          <w:sz w:val="24"/>
          <w14:textFill>
            <w14:solidFill>
              <w14:schemeClr w14:val="tx1"/>
            </w14:solidFill>
          </w14:textFill>
        </w:rPr>
        <w:t>新型医药人才。从“回归常识，回归本分，回归初心，回归梦想”出发，课程思政教育涵盖全过程，企业和行业协同，实践三育人。</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（二）专业特色</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本专业以药物化学、药剂学为主要专业方向，与国内同专业相比，具有如下特点：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1、学科特色鲜明：针对广西常见病多发病，从分子水平进行药物分子设计，通过化学或生物修饰，与药理学相结合，研究合成与构效关系</w:t>
      </w:r>
      <w:bookmarkStart w:id="18" w:name="_GoBack"/>
      <w:bookmarkEnd w:id="18"/>
      <w:r>
        <w:rPr>
          <w:rFonts w:hint="eastAsia" w:ascii="Times New Roman" w:hAnsi="Times New Roman" w:cs="宋体"/>
          <w:color w:val="000000" w:themeColor="text1"/>
          <w:kern w:val="0"/>
          <w:sz w:val="24"/>
          <w14:textFill>
            <w14:solidFill>
              <w14:schemeClr w14:val="tx1"/>
            </w14:solidFill>
          </w14:textFill>
        </w:rPr>
        <w:t>，发现先导化合物。</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2、专业优势突出：化学、生物学、药学</w:t>
      </w:r>
      <w:r>
        <w:rPr>
          <w:rFonts w:ascii="Times New Roman" w:hAnsi="Times New Roman" w:cs="宋体"/>
          <w:color w:val="000000" w:themeColor="text1"/>
          <w:kern w:val="0"/>
          <w:sz w:val="24"/>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中药学</w:t>
      </w:r>
      <w:r>
        <w:rPr>
          <w:rFonts w:ascii="Times New Roman" w:hAnsi="Times New Roman" w:cs="宋体"/>
          <w:color w:val="000000" w:themeColor="text1"/>
          <w:kern w:val="0"/>
          <w:sz w:val="24"/>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交叉融合，培养药物研发、药品新制剂开发和设计人才。</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3、强化实践训练：构建多层次实践教学及科研实训等实践体系，训练提高学生的药学实践技能和科学研究素质。</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（三）校外培养形式</w:t>
      </w:r>
    </w:p>
    <w:p>
      <w:pPr>
        <w:widowControl/>
        <w:spacing w:before="120" w:beforeLines="50" w:after="120" w:afterLines="50" w:line="288" w:lineRule="auto"/>
        <w:ind w:firstLine="480" w:firstLineChars="200"/>
        <w:rPr>
          <w:rStyle w:val="32"/>
          <w:rFonts w:ascii="Times New Roman" w:hAnsi="Times New Roman" w:cs="宋体"/>
          <w:color w:val="000000" w:themeColor="text1"/>
          <w:kern w:val="0"/>
          <w:sz w:val="24"/>
          <w:shd w:val="clear" w:color="auto" w:fill="auto"/>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为融合德育教育，开阔学生视野，培养能力，提高综合素质，通过与教学实践基地等校外单位合作，开展多种形式的校外活动。在教师启发引导和指导下，学生可以根据自己的兴趣爱好和现有知识水平选择参加不同的活动，包括但不仅包括校外实践活动、学科活动、科技活动、文学艺术活动、体育活动、社会公益劳动、课外阅读活动、研学调查等。校外培养应与学校教育互为补充，相得益彰。</w:t>
      </w:r>
    </w:p>
    <w:p>
      <w:pPr>
        <w:widowControl/>
        <w:spacing w:before="240" w:after="240"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五、培养目标</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培养适应我国医药事业发展需要，德、智、体、美、劳全面，具备化学、生物学、药学和医学的基础理论、基本知识和实验技能，接受相关理论研究、科研开发和管理能力训练，能够从事药物及制剂的研发、制备、测试分析、质量控制和药物管理、流通等药学服务领域工作的高级</w:t>
      </w:r>
      <w:r>
        <w:rPr>
          <w:rFonts w:hint="eastAsia" w:ascii="Times New Roman" w:hAnsi="Times New Roman" w:cs="宋体"/>
          <w:color w:val="000000" w:themeColor="text1"/>
          <w:kern w:val="0"/>
          <w:sz w:val="24"/>
          <w:lang w:val="en-US" w:eastAsia="zh-CN"/>
          <w14:textFill>
            <w14:solidFill>
              <w14:schemeClr w14:val="tx1"/>
            </w14:solidFill>
          </w14:textFill>
        </w:rPr>
        <w:t>创新</w:t>
      </w:r>
      <w:r>
        <w:rPr>
          <w:rFonts w:hint="eastAsia" w:ascii="Times New Roman" w:hAnsi="Times New Roman" w:cs="宋体"/>
          <w:color w:val="000000" w:themeColor="text1"/>
          <w:kern w:val="0"/>
          <w:sz w:val="24"/>
          <w14:textFill>
            <w14:solidFill>
              <w14:schemeClr w14:val="tx1"/>
            </w14:solidFill>
          </w14:textFill>
        </w:rPr>
        <w:t>型人才。</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ascii="Times New Roman" w:hAnsi="Times New Roman" w:cs="宋体"/>
          <w:color w:val="000000" w:themeColor="text1"/>
          <w:kern w:val="0"/>
          <w:sz w:val="24"/>
          <w14:textFill>
            <w14:solidFill>
              <w14:schemeClr w14:val="tx1"/>
            </w14:solidFill>
          </w14:textFill>
        </w:rPr>
        <w:t>毕业五年左右</w:t>
      </w:r>
      <w:r>
        <w:rPr>
          <w:rFonts w:hint="eastAsia" w:ascii="Times New Roman" w:hAnsi="Times New Roman" w:cs="宋体"/>
          <w:color w:val="000000" w:themeColor="text1"/>
          <w:kern w:val="0"/>
          <w:sz w:val="24"/>
          <w14:textFill>
            <w14:solidFill>
              <w14:schemeClr w14:val="tx1"/>
            </w14:solidFill>
          </w14:textFill>
        </w:rPr>
        <w:t>达到以下具体目标：</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目标1：能有效运用专业知识和专业技能解决药学领域中药物及制剂的研发、制备、测试分析、质量控制等复杂问题；</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目标2：具有较好的创新意识和管理能力，成为药学及相关领域的科研、技术骨干或管理人员；</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目标3：勤恳朴诚，具备良好的人文社会科学素养和强烈的社会责任感，在实际工作中能够考虑社会、健康、安全、法律、文化及环境等因素，理解并遵守职业道德和规范；</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目标4：具有国际化视野，能与国内外同行、专业的客户和公众有效沟通，能够通过终身学习适应职业发展，并在团队工作和交流中担任骨干或领导角色。</w:t>
      </w:r>
    </w:p>
    <w:p>
      <w:pPr>
        <w:widowControl/>
        <w:spacing w:before="240" w:after="240"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六、毕业要求（培养标准）</w:t>
      </w:r>
    </w:p>
    <w:p>
      <w:pPr>
        <w:widowControl/>
        <w:spacing w:before="120" w:beforeLines="50" w:after="120" w:afterLines="50" w:line="288"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本专业学生主要学习药学各主要分支学科的基本理论和基本知识，接受药学实验方法和技能的基本训练。本专业学生应获得以下几方面的知识和能力：</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A.知识架构：学生应具有广泛的自然科学与必要的人文社会科学领域知识积累，系统掌握化学、生物学、药学、相关医学、药物制剂技术的基本理论、基本知识。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A1 人文科学知识：学生应掌握一定的人文社会科学领域的基本常识。学习文学、史学、哲学、艺术、经济</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创业等方面的知识。熟练掌握一门外语，可运用其进行基本的交流。</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A2 自然科学基础知识：学生应系统掌握与药学相关的数学、物理学、化学、生物学等自然科学基础知识以及计算机技术。掌握科学的思维方法、基本分析方法和技能。</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A3 药学相关的核心基础知识：系统学习药学核心知识，系统掌握化学、生物学、医学的基本理论和研究方法</w:t>
      </w:r>
      <w:r>
        <w:rPr>
          <w:rFonts w:hint="eastAsia" w:ascii="Times New Roman" w:hAnsi="Times New Roman"/>
          <w:color w:val="000000" w:themeColor="text1"/>
          <w:kern w:val="0"/>
          <w:sz w:val="24"/>
          <w14:textFill>
            <w14:solidFill>
              <w14:schemeClr w14:val="tx1"/>
            </w14:solidFill>
          </w14:textFill>
        </w:rPr>
        <w:t>。</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A4 药学相关的专业知识：有选择性地学习特定领域的专业化理论知识，熟悉国家对于药物生产、设计、研究与开发、环境保护等方面的方针、政策和法规，实现对药事管理、医药专利、新药研究与开发、对药品新资源、新产品进行研究、开发和设计等某个特定领域专业知识的熟练和精通。</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A5 药学领域前沿知识：学生应了解药学的理论前沿，了解药物研发新方法</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药物制剂新技术的发展动态，具备开阔的国际视野。</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B.能力要求：学生应当具有较强的学习能力、逻辑分析判断能力、解决问题能力以及良好的写作能力，能熟练地将所学知识应用于新药</w:t>
      </w: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药物剂型的设计开发，并具有良好的创新意识。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1信息获取能力和学习能力：学生应当具有较强的从网络、书本、媒体获得知识的能力，以及终身学习，自我提高的能力。应具备快速掌握新知识领域概况的能力，科学文献检索、资料查询的基本方法，具有基本的科学研究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B2分析判断、解决问题的能力：应当掌握科学的方法论，注重加强对自然科学方法论的理解和运用。具有综合运用所学科学理论、分析与解决问题方法和技术手段分析并解决实际问题的能力。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B3知识应用能力、研究开发设计能力和创新意识：学生应当具有熟练地将所学知识应用于药学领域的研究、设计与开发的能力。具有较强的创新意识以及进行产品技术改造与创新的初步能力。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B4沟通与合作、组织与管理能力：学生应当具有良好的沟通与交流能力，包括在国际环境下的交流能力。具有良好的团队合作精神与协作能力以及组织和管理能力。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B5熟练使用网络并熟悉资料查询、文献检索及运用现代信息技术获取相关信息的基本方法，能独立阅读和查阅专业文献。</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B6掌握英语，达到国家《大学英语》教学规定的“较高要求”,具有阅读本专业英文科技文献资料的基本能力；掌握计算机基本知识和技能，通过计算机</w:t>
      </w:r>
      <w:r>
        <w:rPr>
          <w:rFonts w:hint="eastAsia" w:ascii="Times New Roman" w:hAnsi="Times New Roman"/>
          <w:color w:val="000000" w:themeColor="text1"/>
          <w:kern w:val="0"/>
          <w:sz w:val="24"/>
          <w14:textFill>
            <w14:solidFill>
              <w14:schemeClr w14:val="tx1"/>
            </w14:solidFill>
          </w14:textFill>
        </w:rPr>
        <w:t>一</w:t>
      </w:r>
      <w:r>
        <w:rPr>
          <w:rFonts w:ascii="Times New Roman" w:hAnsi="Times New Roman"/>
          <w:color w:val="000000" w:themeColor="text1"/>
          <w:kern w:val="0"/>
          <w:sz w:val="24"/>
          <w14:textFill>
            <w14:solidFill>
              <w14:schemeClr w14:val="tx1"/>
            </w14:solidFill>
          </w14:textFill>
        </w:rPr>
        <w:t>级统考。</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B7身心健康，达到国家规定的大学生体育锻炼标准和体质测试标准。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B8写作能力：学生应当具有良好的思维能力、想象能力、采集信息能力、调查研究能力、炼意能力、构思能力以及文字表述与交流能力，以负责的态度陈述自己的看法，表达真情实感，培植科学理性精神。</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C.素质要求：学生应当具备良好思想品德和职业道德，坚定正确的政治立场，良好的政治理论素养。在学习和工作中体现对职业、社会、环境的责任。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1良好的政治理论素养：学生应坚定正确的政治立场并掌握马列主义、毛泽东思想和中国特色社会主义理论体系的基本原理，正确理解党和国家治理现代化对社会主义建设的重要性，努力通过相关学科的学习，科学理性地提高自身政治理论素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C2良好的思想品德和职业道德：学生应具有正确的人生观和价值观。热爱祖国，</w:t>
      </w:r>
      <w:r>
        <w:rPr>
          <w:rFonts w:ascii="宋体" w:hAnsi="宋体"/>
          <w:color w:val="000000" w:themeColor="text1"/>
          <w:sz w:val="24"/>
          <w14:textFill>
            <w14:solidFill>
              <w14:schemeClr w14:val="tx1"/>
            </w14:solidFill>
          </w14:textFill>
        </w:rPr>
        <w:t>热爱医药卫生事业。具有较强的社会责任感、正确的价值观、伦理观，</w:t>
      </w:r>
      <w:r>
        <w:rPr>
          <w:rFonts w:ascii="宋体" w:hAnsi="宋体"/>
          <w:color w:val="000000" w:themeColor="text1"/>
          <w:kern w:val="0"/>
          <w:sz w:val="24"/>
          <w14:textFill>
            <w14:solidFill>
              <w14:schemeClr w14:val="tx1"/>
            </w14:solidFill>
          </w14:textFill>
        </w:rPr>
        <w:t>具有团结、勤奋、求实、创新的精神。良好的职业道德。体现对职业、社会、环境的责任。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C3 行业标准与政策法规：学生应当了解现行的行业标准与政策法规，培养工作中恪守学术规范、国家法律法规的精神，建立良好的法治意识。</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C4专业知识扎实，具有较强实践能力，积极创新、勇于批判的科学精神。</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C5具有良好的人际沟通与协调能力以及团队协作精神。</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C6树立终身学习观念，具有自主学习能力，不断探索新知，追求卓越。</w:t>
      </w:r>
    </w:p>
    <w:p>
      <w:pPr>
        <w:adjustRightInd w:val="0"/>
        <w:snapToGrid w:val="0"/>
        <w:spacing w:before="120" w:beforeLines="50" w:after="120" w:afterLines="50" w:line="288" w:lineRule="auto"/>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w:t>
      </w:r>
      <w:r>
        <w:rPr>
          <w:rFonts w:ascii="Times New Roman" w:hAnsi="Times New Roman" w:cs="宋体"/>
          <w:b/>
          <w:color w:val="000000" w:themeColor="text1"/>
          <w:kern w:val="0"/>
          <w:sz w:val="24"/>
          <w14:textFill>
            <w14:solidFill>
              <w14:schemeClr w14:val="tx1"/>
            </w14:solidFill>
          </w14:textFill>
        </w:rPr>
        <w:t xml:space="preserve">1 </w:t>
      </w:r>
      <w:r>
        <w:rPr>
          <w:rFonts w:hint="eastAsia" w:ascii="Times New Roman" w:hAnsi="Times New Roman" w:cs="宋体"/>
          <w:b/>
          <w:color w:val="000000" w:themeColor="text1"/>
          <w:kern w:val="0"/>
          <w:sz w:val="24"/>
          <w14:textFill>
            <w14:solidFill>
              <w14:schemeClr w14:val="tx1"/>
            </w14:solidFill>
          </w14:textFill>
        </w:rPr>
        <w:t>专业毕业要求对学校毕业要求基本标准的覆盖关系</w:t>
      </w:r>
    </w:p>
    <w:tbl>
      <w:tblPr>
        <w:tblStyle w:val="9"/>
        <w:tblW w:w="960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395"/>
        <w:gridCol w:w="395"/>
        <w:gridCol w:w="396"/>
        <w:gridCol w:w="395"/>
        <w:gridCol w:w="395"/>
        <w:gridCol w:w="395"/>
        <w:gridCol w:w="396"/>
        <w:gridCol w:w="395"/>
        <w:gridCol w:w="395"/>
        <w:gridCol w:w="396"/>
        <w:gridCol w:w="395"/>
        <w:gridCol w:w="395"/>
        <w:gridCol w:w="396"/>
        <w:gridCol w:w="395"/>
        <w:gridCol w:w="395"/>
        <w:gridCol w:w="396"/>
        <w:gridCol w:w="395"/>
        <w:gridCol w:w="395"/>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l2br w:val="single" w:color="auto" w:sz="4" w:space="0"/>
            </w:tcBorders>
          </w:tcPr>
          <w:p>
            <w:pPr>
              <w:adjustRightInd w:val="0"/>
              <w:snapToGrid w:val="0"/>
              <w:spacing w:line="440" w:lineRule="exact"/>
              <w:ind w:firstLine="738" w:firstLineChars="3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培养毕业要求</w:t>
            </w: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毕业要求基本标准</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2</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A5</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1</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2</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4</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5</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6</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7</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8</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r>
              <w:rPr>
                <w:rFonts w:ascii="宋体" w:hAnsi="宋体"/>
                <w:b/>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2</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5</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6</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bl>
    <w:p>
      <w:pPr>
        <w:adjustRightInd w:val="0"/>
        <w:snapToGrid w:val="0"/>
        <w:spacing w:line="440" w:lineRule="exact"/>
        <w:ind w:firstLine="420" w:firstLineChars="200"/>
        <w:rPr>
          <w:rFonts w:ascii="Times New Roman" w:hAnsi="Times New Roman" w:cs="宋体"/>
          <w:color w:val="000000" w:themeColor="text1"/>
          <w:kern w:val="0"/>
          <w:szCs w:val="21"/>
          <w14:textFill>
            <w14:solidFill>
              <w14:schemeClr w14:val="tx1"/>
            </w14:solidFill>
          </w14:textFill>
        </w:rPr>
      </w:pPr>
      <w:r>
        <w:rPr>
          <w:rFonts w:hint="eastAsia" w:ascii="Times New Roman" w:hAnsi="Times New Roman" w:cs="宋体"/>
          <w:color w:val="000000" w:themeColor="text1"/>
          <w:kern w:val="0"/>
          <w:szCs w:val="21"/>
          <w14:textFill>
            <w14:solidFill>
              <w14:schemeClr w14:val="tx1"/>
            </w14:solidFill>
          </w14:textFill>
        </w:rPr>
        <w:t>注：用√表示有对应覆盖关系</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附：学校毕业要求基本标准：</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1、具有正确的政治立场，正确的世界观、人生观和价值观，热爱祖国、遵纪守法，诚信为人，品行端正，具有健全的人格</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和社会责任感，具有集体主义精神、合作精神、敬业精神以及追求真理、现身科学教育事业的科学道德，德、智、体、美、劳全面发展，德才兼备。</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2、具备一定的人文科学、社会科学、自然科学、创新创业等领域的知识和素养，具有较强的外语和信息技术应用能力，具备较高的信息素养。</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3、系统掌握本学科专业知识必备的基础理论、基本知识和基本技能，了解相关学科发展现状及前沿动态，具有综合运用所学知识解决实际问题的基本能力。</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4、具有较强的创新精神、创业意识和创新创业能力，以及继续学习和不断提高的能力。</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5、具有良好的语言和文字表达能力，具有一定的国际视野。</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6、达到国家规定的大学生体质健康标准，具有健康的体魄和良好的心理素质。</w:t>
      </w:r>
    </w:p>
    <w:p>
      <w:pPr>
        <w:adjustRightInd w:val="0"/>
        <w:snapToGrid w:val="0"/>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w:t>
      </w:r>
      <w:r>
        <w:rPr>
          <w:rFonts w:ascii="宋体" w:hAnsi="宋体" w:cs="宋体"/>
          <w:b/>
          <w:color w:val="000000" w:themeColor="text1"/>
          <w:kern w:val="0"/>
          <w:sz w:val="24"/>
          <w14:textFill>
            <w14:solidFill>
              <w14:schemeClr w14:val="tx1"/>
            </w14:solidFill>
          </w14:textFill>
        </w:rPr>
        <w:t xml:space="preserve">2 </w:t>
      </w:r>
      <w:r>
        <w:rPr>
          <w:rFonts w:hint="eastAsia" w:ascii="宋体" w:hAnsi="宋体" w:cs="宋体"/>
          <w:b/>
          <w:color w:val="000000" w:themeColor="text1"/>
          <w:kern w:val="0"/>
          <w:sz w:val="24"/>
          <w14:textFill>
            <w14:solidFill>
              <w14:schemeClr w14:val="tx1"/>
            </w14:solidFill>
          </w14:textFill>
        </w:rPr>
        <w:t>毕业要求对培养目标的支撑度</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637"/>
        <w:gridCol w:w="2149"/>
        <w:gridCol w:w="1608"/>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16" w:type="pct"/>
            <w:tcBorders>
              <w:top w:val="single" w:color="auto" w:sz="4" w:space="0"/>
              <w:left w:val="single" w:color="auto" w:sz="4" w:space="0"/>
              <w:bottom w:val="single" w:color="auto" w:sz="4" w:space="0"/>
              <w:right w:val="single" w:color="auto" w:sz="4" w:space="0"/>
              <w:tl2br w:val="single" w:color="auto" w:sz="4" w:space="0"/>
            </w:tcBorders>
          </w:tcPr>
          <w:p>
            <w:pPr>
              <w:adjustRightInd w:val="0"/>
              <w:snapToGrid w:val="0"/>
              <w:spacing w:line="440" w:lineRule="exact"/>
              <w:ind w:firstLine="723" w:firstLineChars="400"/>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p>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毕业要求</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1</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2</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3</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L</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毕业要求B2：</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毕业要求B3：</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毕业要求C1：</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H</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Ｌ</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bl>
    <w:p>
      <w:pPr>
        <w:adjustRightInd w:val="0"/>
        <w:snapToGrid w:val="0"/>
        <w:spacing w:line="360" w:lineRule="atLeast"/>
        <w:ind w:firstLine="420" w:firstLineChars="200"/>
        <w:rPr>
          <w:rFonts w:ascii="Times New Roman" w:hAnsi="Times New Roman" w:cs="宋体"/>
          <w:color w:val="000000" w:themeColor="text1"/>
          <w:kern w:val="0"/>
          <w:szCs w:val="21"/>
          <w14:textFill>
            <w14:solidFill>
              <w14:schemeClr w14:val="tx1"/>
            </w14:solidFill>
          </w14:textFill>
        </w:rPr>
      </w:pPr>
      <w:r>
        <w:rPr>
          <w:rFonts w:hint="eastAsia" w:ascii="Times New Roman" w:hAnsi="Times New Roman" w:cs="宋体"/>
          <w:color w:val="000000" w:themeColor="text1"/>
          <w:kern w:val="0"/>
          <w:szCs w:val="21"/>
          <w14:textFill>
            <w14:solidFill>
              <w14:schemeClr w14:val="tx1"/>
            </w14:solidFill>
          </w14:textFill>
        </w:rPr>
        <w:t>注：</w:t>
      </w:r>
      <w:r>
        <w:rPr>
          <w:rFonts w:ascii="Times New Roman" w:hAnsi="Times New Roman" w:cs="宋体"/>
          <w:color w:val="000000" w:themeColor="text1"/>
          <w:kern w:val="0"/>
          <w:szCs w:val="21"/>
          <w14:textFill>
            <w14:solidFill>
              <w14:schemeClr w14:val="tx1"/>
            </w14:solidFill>
          </w14:textFill>
        </w:rPr>
        <w:t>H</w:t>
      </w:r>
      <w:r>
        <w:rPr>
          <w:rFonts w:hint="eastAsia" w:ascii="Times New Roman" w:hAnsi="Times New Roman" w:cs="宋体"/>
          <w:color w:val="000000" w:themeColor="text1"/>
          <w:kern w:val="0"/>
          <w:szCs w:val="21"/>
          <w14:textFill>
            <w14:solidFill>
              <w14:schemeClr w14:val="tx1"/>
            </w14:solidFill>
          </w14:textFill>
        </w:rPr>
        <w:t>、</w:t>
      </w:r>
      <w:r>
        <w:rPr>
          <w:rFonts w:ascii="Times New Roman" w:hAnsi="Times New Roman" w:cs="宋体"/>
          <w:color w:val="000000" w:themeColor="text1"/>
          <w:kern w:val="0"/>
          <w:szCs w:val="21"/>
          <w14:textFill>
            <w14:solidFill>
              <w14:schemeClr w14:val="tx1"/>
            </w14:solidFill>
          </w14:textFill>
        </w:rPr>
        <w:t>M</w:t>
      </w:r>
      <w:r>
        <w:rPr>
          <w:rFonts w:hint="eastAsia" w:ascii="Times New Roman" w:hAnsi="Times New Roman" w:cs="宋体"/>
          <w:color w:val="000000" w:themeColor="text1"/>
          <w:kern w:val="0"/>
          <w:szCs w:val="21"/>
          <w14:textFill>
            <w14:solidFill>
              <w14:schemeClr w14:val="tx1"/>
            </w14:solidFill>
          </w14:textFill>
        </w:rPr>
        <w:t>、</w:t>
      </w:r>
      <w:r>
        <w:rPr>
          <w:rFonts w:ascii="Times New Roman" w:hAnsi="Times New Roman" w:cs="宋体"/>
          <w:color w:val="000000" w:themeColor="text1"/>
          <w:kern w:val="0"/>
          <w:szCs w:val="21"/>
          <w14:textFill>
            <w14:solidFill>
              <w14:schemeClr w14:val="tx1"/>
            </w14:solidFill>
          </w14:textFill>
        </w:rPr>
        <w:t>L</w:t>
      </w:r>
      <w:r>
        <w:rPr>
          <w:rFonts w:hint="eastAsia" w:ascii="Times New Roman" w:hAnsi="Times New Roman" w:cs="宋体"/>
          <w:color w:val="000000" w:themeColor="text1"/>
          <w:kern w:val="0"/>
          <w:szCs w:val="21"/>
          <w14:textFill>
            <w14:solidFill>
              <w14:schemeClr w14:val="tx1"/>
            </w14:solidFill>
          </w14:textFill>
        </w:rPr>
        <w:t>分别表示毕业要求对培养目标支撑度的高中低。</w:t>
      </w:r>
    </w:p>
    <w:p>
      <w:pPr>
        <w:adjustRightInd w:val="0"/>
        <w:snapToGrid w:val="0"/>
        <w:spacing w:line="360" w:lineRule="atLeast"/>
        <w:ind w:firstLine="420" w:firstLineChars="200"/>
        <w:rPr>
          <w:rFonts w:ascii="Times New Roman" w:hAnsi="Times New Roman" w:cs="宋体"/>
          <w:color w:val="000000" w:themeColor="text1"/>
          <w:kern w:val="0"/>
          <w:szCs w:val="21"/>
          <w14:textFill>
            <w14:solidFill>
              <w14:schemeClr w14:val="tx1"/>
            </w14:solidFill>
          </w14:textFill>
        </w:rPr>
      </w:pP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七、专业核心课程及特色课程（导师课、研究型课程、讨论课程、全英文课程、双语课程、校内外合授课程、创新创业课等）。</w:t>
      </w:r>
    </w:p>
    <w:p>
      <w:pPr>
        <w:snapToGrid w:val="0"/>
        <w:spacing w:before="120" w:beforeLines="50" w:after="120" w:afterLines="50" w:line="288" w:lineRule="auto"/>
        <w:rPr>
          <w:rFonts w:ascii="Times New Roman" w:hAnsi="Times New Roman"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1.专业核心课程</w:t>
      </w:r>
      <w:r>
        <w:rPr>
          <w:rFonts w:hint="eastAsia" w:ascii="Times New Roman" w:hAnsi="Times New Roman" w:cs="宋体"/>
          <w:color w:val="000000" w:themeColor="text1"/>
          <w:kern w:val="0"/>
          <w:sz w:val="24"/>
          <w14:textFill>
            <w14:solidFill>
              <w14:schemeClr w14:val="tx1"/>
            </w14:solidFill>
          </w14:textFill>
        </w:rPr>
        <w:t>：参照《普通高等学校本科专业类教学质量国家标准》结合专业特色设置</w:t>
      </w:r>
    </w:p>
    <w:p>
      <w:pPr>
        <w:spacing w:before="120" w:beforeLines="50" w:after="120" w:afterLines="50" w:line="288"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有机化学、物理化学、生物化学、微生物学、药理学、临床医学概论、药事管理、药剂学、药物化学、药物分析。</w:t>
      </w:r>
    </w:p>
    <w:p>
      <w:pPr>
        <w:widowControl/>
        <w:spacing w:before="120" w:beforeLines="50" w:after="120" w:afterLines="50" w:line="288" w:lineRule="auto"/>
        <w:jc w:val="left"/>
        <w:rPr>
          <w:rFonts w:ascii="宋体" w:hAnsi="宋体" w:cs="宋体"/>
          <w:b/>
          <w:color w:val="000000" w:themeColor="text1"/>
          <w:kern w:val="0"/>
          <w:sz w:val="24"/>
          <w14:textFill>
            <w14:solidFill>
              <w14:schemeClr w14:val="tx1"/>
            </w14:solidFill>
          </w14:textFill>
        </w:rPr>
      </w:pPr>
      <w:bookmarkStart w:id="2" w:name="_Toc498104483"/>
      <w:bookmarkStart w:id="3" w:name="_Toc497855854"/>
      <w:bookmarkStart w:id="4" w:name="_Toc497857700"/>
      <w:bookmarkStart w:id="5" w:name="_Toc493178592"/>
      <w:r>
        <w:rPr>
          <w:rFonts w:hint="eastAsia" w:ascii="宋体" w:hAnsi="宋体" w:cs="宋体"/>
          <w:b/>
          <w:color w:val="000000" w:themeColor="text1"/>
          <w:kern w:val="0"/>
          <w:sz w:val="24"/>
          <w14:textFill>
            <w14:solidFill>
              <w14:schemeClr w14:val="tx1"/>
            </w14:solidFill>
          </w14:textFill>
        </w:rPr>
        <w:t>2.特色、特设课程：</w:t>
      </w:r>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（1）研究型课程和讨论课程</w:t>
      </w:r>
      <w:bookmarkEnd w:id="2"/>
      <w:bookmarkEnd w:id="3"/>
      <w:bookmarkEnd w:id="4"/>
      <w:bookmarkEnd w:id="5"/>
      <w:bookmarkStart w:id="6" w:name="_Toc497855855"/>
      <w:bookmarkStart w:id="7" w:name="_Toc498104484"/>
      <w:bookmarkStart w:id="8" w:name="_Toc493178593"/>
      <w:bookmarkStart w:id="9" w:name="_Toc497857701"/>
    </w:p>
    <w:p>
      <w:pPr>
        <w:spacing w:before="120" w:beforeLines="50" w:after="120" w:afterLines="50" w:line="288" w:lineRule="auto"/>
        <w:ind w:firstLine="480" w:firstLineChars="200"/>
        <w:outlineLvl w:val="1"/>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针对药学前沿，结合每位教师的学术方向，对相关领域进行讲授，设立专题，通过文献调研、课堂讨论，让学生了解科学研究的方法。相关课程《导师制课程》。</w:t>
      </w:r>
      <w:bookmarkEnd w:id="6"/>
      <w:bookmarkEnd w:id="7"/>
      <w:bookmarkEnd w:id="8"/>
      <w:bookmarkEnd w:id="9"/>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bookmarkStart w:id="10" w:name="_Toc498104485"/>
      <w:bookmarkStart w:id="11" w:name="_Toc497855856"/>
      <w:bookmarkStart w:id="12" w:name="_Toc497857702"/>
      <w:bookmarkStart w:id="13" w:name="_Toc493178594"/>
      <w:r>
        <w:rPr>
          <w:rFonts w:hint="eastAsia" w:ascii="宋体" w:hAnsi="宋体" w:cs="仿宋"/>
          <w:b/>
          <w:color w:val="000000" w:themeColor="text1"/>
          <w:sz w:val="24"/>
          <w14:textFill>
            <w14:solidFill>
              <w14:schemeClr w14:val="tx1"/>
            </w14:solidFill>
          </w14:textFill>
        </w:rPr>
        <w:t>（2）全英文课程和双语课程</w:t>
      </w:r>
      <w:bookmarkEnd w:id="10"/>
      <w:bookmarkEnd w:id="11"/>
      <w:bookmarkEnd w:id="12"/>
      <w:bookmarkEnd w:id="13"/>
      <w:bookmarkStart w:id="14" w:name="_Toc497855857"/>
      <w:bookmarkStart w:id="15" w:name="_Toc497857703"/>
      <w:bookmarkStart w:id="16" w:name="_Toc493178595"/>
      <w:bookmarkStart w:id="17" w:name="_Toc498104486"/>
    </w:p>
    <w:bookmarkEnd w:id="14"/>
    <w:bookmarkEnd w:id="15"/>
    <w:bookmarkEnd w:id="16"/>
    <w:bookmarkEnd w:id="17"/>
    <w:p>
      <w:pPr>
        <w:widowControl/>
        <w:spacing w:before="120" w:beforeLines="50" w:after="120" w:afterLines="50" w:line="288"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选择专业课，鼓励教师进行全英文课程和双语课程。全英文课程是《药学英语》，双语课程为《药物化学》。</w:t>
      </w:r>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（3）校内外合授课程</w:t>
      </w:r>
    </w:p>
    <w:p>
      <w:pPr>
        <w:spacing w:before="120" w:beforeLines="50" w:after="120" w:afterLines="50" w:line="288" w:lineRule="auto"/>
        <w:ind w:firstLine="480" w:firstLineChars="200"/>
        <w:outlineLvl w:val="1"/>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与实习单位合作，聘请具有实践经验的研究院所和企业研发人员，进行校内外联合授课。相关课程如《新药设计原理与方法》。</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八、毕业学分要求、课程修读要求与选课说明。</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1.本专业学制</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年，按照学分制管理，最长修业年限</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年；</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2.药学专业学生毕业最低学分数为</w:t>
      </w:r>
      <w:r>
        <w:rPr>
          <w:rFonts w:ascii="宋体" w:hAnsi="宋体" w:cs="宋体"/>
          <w:color w:val="000000" w:themeColor="text1"/>
          <w:kern w:val="0"/>
          <w:sz w:val="24"/>
          <w14:textFill>
            <w14:solidFill>
              <w14:schemeClr w14:val="tx1"/>
            </w14:solidFill>
          </w14:textFill>
        </w:rPr>
        <w:t>150</w:t>
      </w:r>
      <w:r>
        <w:rPr>
          <w:rFonts w:hint="eastAsia" w:ascii="宋体" w:hAnsi="宋体" w:cs="宋体"/>
          <w:color w:val="000000" w:themeColor="text1"/>
          <w:kern w:val="0"/>
          <w:sz w:val="24"/>
          <w14:textFill>
            <w14:solidFill>
              <w14:schemeClr w14:val="tx1"/>
            </w14:solidFill>
          </w14:textFill>
        </w:rPr>
        <w:t>，其中各类别课程及环节要求学分数如下表3。</w:t>
      </w:r>
    </w:p>
    <w:p>
      <w:pPr>
        <w:widowControl/>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表3</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各类别课程及环节要求学分数</w:t>
      </w:r>
    </w:p>
    <w:tbl>
      <w:tblPr>
        <w:tblStyle w:val="9"/>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709"/>
        <w:gridCol w:w="709"/>
        <w:gridCol w:w="708"/>
        <w:gridCol w:w="709"/>
        <w:gridCol w:w="709"/>
        <w:gridCol w:w="1559"/>
        <w:gridCol w:w="1711"/>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课程类别</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通识必修</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通识选修</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学门核心</w:t>
            </w:r>
          </w:p>
        </w:tc>
        <w:tc>
          <w:tcPr>
            <w:tcW w:w="708"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学类核心</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专业必修</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专业选修</w:t>
            </w:r>
          </w:p>
        </w:tc>
        <w:tc>
          <w:tcPr>
            <w:tcW w:w="155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集中实践必修</w:t>
            </w:r>
          </w:p>
        </w:tc>
        <w:tc>
          <w:tcPr>
            <w:tcW w:w="1711"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集中实践选修</w:t>
            </w:r>
          </w:p>
        </w:tc>
        <w:tc>
          <w:tcPr>
            <w:tcW w:w="690" w:type="dxa"/>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学分数</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27</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23.5</w:t>
            </w:r>
          </w:p>
        </w:tc>
        <w:tc>
          <w:tcPr>
            <w:tcW w:w="70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30.5</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1</w:t>
            </w:r>
          </w:p>
        </w:tc>
        <w:tc>
          <w:tcPr>
            <w:tcW w:w="709" w:type="dxa"/>
            <w:vAlign w:val="center"/>
          </w:tcPr>
          <w:p>
            <w:pPr>
              <w:jc w:val="center"/>
              <w:rPr>
                <w:rFonts w:ascii="宋体" w:hAnsi="宋体"/>
                <w:color w:val="auto"/>
              </w:rPr>
            </w:pPr>
            <w:r>
              <w:rPr>
                <w:rFonts w:hint="eastAsia" w:ascii="宋体" w:hAnsi="宋体"/>
                <w:color w:val="auto"/>
              </w:rPr>
              <w:t>1</w:t>
            </w:r>
            <w:r>
              <w:rPr>
                <w:rFonts w:ascii="宋体" w:hAnsi="宋体"/>
                <w:color w:val="auto"/>
              </w:rPr>
              <w:t>7</w:t>
            </w:r>
          </w:p>
        </w:tc>
        <w:tc>
          <w:tcPr>
            <w:tcW w:w="1559" w:type="dxa"/>
            <w:vAlign w:val="center"/>
          </w:tcPr>
          <w:p>
            <w:pPr>
              <w:jc w:val="center"/>
              <w:rPr>
                <w:rFonts w:ascii="宋体" w:hAnsi="宋体"/>
                <w:color w:val="auto"/>
              </w:rPr>
            </w:pPr>
            <w:r>
              <w:rPr>
                <w:rFonts w:ascii="宋体" w:hAnsi="宋体"/>
                <w:color w:val="auto"/>
              </w:rPr>
              <w:t>33</w:t>
            </w:r>
          </w:p>
        </w:tc>
        <w:tc>
          <w:tcPr>
            <w:tcW w:w="17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w:t>
            </w:r>
          </w:p>
        </w:tc>
        <w:tc>
          <w:tcPr>
            <w:tcW w:w="690" w:type="dxa"/>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150</w:t>
            </w:r>
          </w:p>
        </w:tc>
      </w:tr>
    </w:tbl>
    <w:p>
      <w:pPr>
        <w:widowControl/>
        <w:spacing w:line="360" w:lineRule="auto"/>
        <w:rPr>
          <w:rFonts w:ascii="宋体" w:hAnsi="宋体" w:cs="宋体"/>
          <w:color w:val="000000" w:themeColor="text1"/>
          <w:kern w:val="0"/>
          <w:sz w:val="18"/>
          <w:szCs w:val="18"/>
          <w14:textFill>
            <w14:solidFill>
              <w14:schemeClr w14:val="tx1"/>
            </w14:solidFill>
          </w14:textFill>
        </w:rPr>
      </w:pPr>
    </w:p>
    <w:tbl>
      <w:tblPr>
        <w:tblStyle w:val="1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3812"/>
        <w:gridCol w:w="1275"/>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Align w:val="center"/>
          </w:tcPr>
          <w:p>
            <w:pPr>
              <w:widowControl/>
              <w:spacing w:line="360"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国家标准要求</w:t>
            </w:r>
          </w:p>
        </w:tc>
        <w:tc>
          <w:tcPr>
            <w:tcW w:w="4394" w:type="dxa"/>
            <w:gridSpan w:val="3"/>
            <w:vAlign w:val="center"/>
          </w:tcPr>
          <w:p>
            <w:pPr>
              <w:widowControl/>
              <w:spacing w:line="360" w:lineRule="auto"/>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广西大学医学院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总学分</w:t>
            </w:r>
          </w:p>
        </w:tc>
        <w:tc>
          <w:tcPr>
            <w:tcW w:w="3812" w:type="dxa"/>
            <w:vAlign w:val="center"/>
          </w:tcPr>
          <w:p>
            <w:pPr>
              <w:adjustRightInd w:val="0"/>
              <w:snapToGrid w:val="0"/>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40</w:t>
            </w:r>
            <w:r>
              <w:rPr>
                <w:rFonts w:ascii="Times New Roman" w:hAnsi="Times New Roman"/>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180</w:t>
            </w:r>
          </w:p>
        </w:tc>
        <w:tc>
          <w:tcPr>
            <w:tcW w:w="127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总学分</w:t>
            </w:r>
          </w:p>
        </w:tc>
        <w:tc>
          <w:tcPr>
            <w:tcW w:w="3119" w:type="dxa"/>
            <w:gridSpan w:val="2"/>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通识类</w:t>
            </w:r>
          </w:p>
        </w:tc>
        <w:tc>
          <w:tcPr>
            <w:tcW w:w="3812" w:type="dxa"/>
            <w:vMerge w:val="restart"/>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t>除国家规定的教学内容外</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人文社会科学</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自然科学</w:t>
            </w:r>
            <w:r>
              <w:rPr>
                <w:rFonts w:hint="eastAsia" w:ascii="宋体" w:hAnsi="宋体"/>
                <w:color w:val="000000" w:themeColor="text1"/>
                <w:szCs w:val="21"/>
                <w14:textFill>
                  <w14:solidFill>
                    <w14:schemeClr w14:val="tx1"/>
                  </w14:solidFill>
                </w14:textFill>
              </w:rPr>
              <w:t>（数学、物理学等）、外语、计算机与信息技术、体育、艺术等内容由各高校确定</w:t>
            </w:r>
          </w:p>
          <w:p>
            <w:pPr>
              <w:widowControl/>
              <w:spacing w:before="120"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②应开设研究方法、学科前沿、创业基础、就业创业指导等必修或选修课程</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通识必修</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英语</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计算机</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体育</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思政</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通识选修</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五大模块</w:t>
            </w:r>
          </w:p>
        </w:tc>
        <w:tc>
          <w:tcPr>
            <w:tcW w:w="1134"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r>
              <w:rPr>
                <w:rFonts w:ascii="宋体" w:hAnsi="宋体" w:cs="宋体"/>
                <w:color w:val="000000" w:themeColor="text1"/>
                <w:kern w:val="0"/>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学门核心</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23.5学分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数理统计</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线性代数</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基础课程</w:t>
            </w:r>
          </w:p>
        </w:tc>
        <w:tc>
          <w:tcPr>
            <w:tcW w:w="3812" w:type="dxa"/>
            <w:vMerge w:val="restart"/>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主要包括化学类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生物学类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医学类课程</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主要有基础化学课程群</w:t>
            </w:r>
            <w:r>
              <w:rPr>
                <w:rFonts w:hint="eastAsia" w:ascii="宋体" w:hAnsi="宋体"/>
                <w:color w:val="000000" w:themeColor="text1"/>
                <w:szCs w:val="21"/>
                <w14:textFill>
                  <w14:solidFill>
                    <w14:schemeClr w14:val="tx1"/>
                  </w14:solidFill>
                </w14:textFill>
              </w:rPr>
              <w:t>（无机化学、有机化学、物理化学、分析化学等）、生物化学与分子生物学、微生物学、人体解剖生理学等</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学类核心</w:t>
            </w: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专业必修</w:t>
            </w:r>
            <w:r>
              <w:rPr>
                <w:rFonts w:ascii="宋体" w:hAnsi="宋体"/>
                <w:color w:val="000000" w:themeColor="text1"/>
                <w:szCs w:val="21"/>
                <w14:textFill>
                  <w14:solidFill>
                    <w14:schemeClr w14:val="tx1"/>
                  </w14:solidFill>
                </w14:textFill>
              </w:rPr>
              <w:t>+专业选修</w:t>
            </w: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人体解剖生理学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17</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专业核心课程</w:t>
            </w:r>
          </w:p>
        </w:tc>
        <w:tc>
          <w:tcPr>
            <w:tcW w:w="3812" w:type="dxa"/>
            <w:vMerge w:val="restart"/>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药物化学、药剂学、药理学、药物分析、药事管理等</w:t>
            </w: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45" w:type="dxa"/>
            <w:vMerge w:val="restart"/>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专业实践环节</w:t>
            </w:r>
          </w:p>
        </w:tc>
        <w:tc>
          <w:tcPr>
            <w:tcW w:w="3812" w:type="dxa"/>
            <w:vMerge w:val="restart"/>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t>主要包括实验</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实训</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毕业实习</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毕业论文</w:t>
            </w:r>
            <w:r>
              <w:rPr>
                <w:rFonts w:hint="eastAsia" w:ascii="宋体" w:hAnsi="宋体"/>
                <w:color w:val="000000" w:themeColor="text1"/>
                <w:szCs w:val="21"/>
                <w14:textFill>
                  <w14:solidFill>
                    <w14:schemeClr w14:val="tx1"/>
                  </w14:solidFill>
                </w14:textFill>
              </w:rPr>
              <w:t>（设计）、科研训练、社会实践等。</w:t>
            </w:r>
          </w:p>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w:t>
            </w:r>
            <w:r>
              <w:rPr>
                <w:rFonts w:ascii="宋体" w:hAnsi="宋体"/>
                <w:color w:val="000000" w:themeColor="text1"/>
                <w:szCs w:val="21"/>
                <w14:textFill>
                  <w14:solidFill>
                    <w14:schemeClr w14:val="tx1"/>
                  </w14:solidFill>
                </w14:textFill>
              </w:rPr>
              <w:t>化学类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生物学类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医学类基础课程和药学类专业课程的实验课程与理论课程学时比高于等于</w:t>
            </w:r>
            <w:r>
              <w:rPr>
                <w:rFonts w:hint="eastAsia" w:ascii="宋体" w:hAnsi="宋体"/>
                <w:color w:val="000000" w:themeColor="text1"/>
                <w:szCs w:val="21"/>
                <w14:textFill>
                  <w14:solidFill>
                    <w14:schemeClr w14:val="tx1"/>
                  </w14:solidFill>
                </w14:textFill>
              </w:rPr>
              <w:t>0.8:1，或实验课总学时不少于550学时。</w:t>
            </w:r>
          </w:p>
          <w:p>
            <w:pPr>
              <w:widowControl/>
              <w:spacing w:before="120" w:beforeLines="50"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③毕业实习与毕业论文（设计）的时间不少于16周。</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集中实践</w:t>
            </w:r>
          </w:p>
        </w:tc>
        <w:tc>
          <w:tcPr>
            <w:tcW w:w="1985" w:type="dxa"/>
            <w:vAlign w:val="center"/>
          </w:tcPr>
          <w:p>
            <w:pPr>
              <w:widowControl/>
              <w:jc w:val="left"/>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毕业实习</w:t>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2周</w:t>
            </w:r>
            <w:r>
              <w:rPr>
                <w:rFonts w:hint="eastAsia" w:ascii="宋体" w:hAnsi="宋体" w:cs="宋体"/>
                <w:color w:val="000000" w:themeColor="text1"/>
                <w:kern w:val="0"/>
                <w:szCs w:val="21"/>
                <w14:textFill>
                  <w14:solidFill>
                    <w14:schemeClr w14:val="tx1"/>
                  </w14:solidFill>
                </w14:textFill>
              </w:rPr>
              <w:t>）</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56(44+12)</w:t>
            </w:r>
            <w:r>
              <w:rPr>
                <w:rFonts w:ascii="宋体" w:hAnsi="宋体" w:cs="宋体"/>
                <w:color w:val="000000" w:themeColor="text1"/>
                <w:kern w:val="0"/>
                <w:szCs w:val="21"/>
                <w14:textFill>
                  <w14:solidFill>
                    <w14:schemeClr w14:val="tx1"/>
                  </w14:solidFill>
                </w14:textFill>
              </w:rPr>
              <w:t>学分</w:t>
            </w:r>
            <w:r>
              <w:rPr>
                <w:rFonts w:hint="eastAsia" w:ascii="宋体" w:hAnsi="宋体" w:cs="宋体"/>
                <w:color w:val="000000" w:themeColor="text1"/>
                <w:kern w:val="0"/>
                <w:szCs w:val="21"/>
                <w14:textFill>
                  <w14:solidFill>
                    <w14:schemeClr w14:val="tx1"/>
                  </w14:solidFill>
                </w14:textFill>
              </w:rPr>
              <w:t>，</w:t>
            </w:r>
          </w:p>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w:t>
            </w:r>
            <w:r>
              <w:rPr>
                <w:rFonts w:hint="eastAsia" w:ascii="宋体" w:hAnsi="宋体"/>
                <w:color w:val="000000" w:themeColor="text1"/>
                <w:szCs w:val="21"/>
                <w:lang w:val="en-US" w:eastAsia="zh-CN"/>
                <w14:textFill>
                  <w14:solidFill>
                    <w14:schemeClr w14:val="tx1"/>
                  </w14:solidFill>
                </w14:textFill>
              </w:rPr>
              <w:t>课</w:t>
            </w:r>
            <w:r>
              <w:rPr>
                <w:rFonts w:hint="eastAsia" w:ascii="宋体" w:hAnsi="宋体"/>
                <w:color w:val="000000" w:themeColor="text1"/>
                <w:szCs w:val="21"/>
                <w14:textFill>
                  <w14:solidFill>
                    <w14:schemeClr w14:val="tx1"/>
                  </w14:solidFill>
                </w14:textFill>
              </w:rPr>
              <w:t>总学时</w:t>
            </w:r>
            <w:r>
              <w:rPr>
                <w:rFonts w:hint="eastAsia" w:ascii="宋体" w:hAnsi="宋体"/>
                <w:color w:val="000000" w:themeColor="text1"/>
                <w:szCs w:val="21"/>
                <w:lang w:val="en-US" w:eastAsia="zh-CN"/>
                <w14:textFill>
                  <w14:solidFill>
                    <w14:schemeClr w14:val="tx1"/>
                  </w14:solidFill>
                </w14:textFill>
              </w:rPr>
              <w:t>896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jc w:val="left"/>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毕业设计</w:t>
            </w:r>
            <w:r>
              <w:rPr>
                <w:rFonts w:hint="eastAsia" w:ascii="宋体" w:hAnsi="宋体" w:cs="宋体"/>
                <w:color w:val="000000" w:themeColor="text1"/>
                <w:kern w:val="0"/>
                <w:szCs w:val="21"/>
                <w14:textFill>
                  <w14:solidFill>
                    <w14:schemeClr w14:val="tx1"/>
                  </w14:solidFill>
                </w14:textFill>
              </w:rPr>
              <w:t>（论文）（1</w:t>
            </w:r>
            <w:r>
              <w:rPr>
                <w:rFonts w:ascii="宋体" w:hAnsi="宋体" w:cs="宋体"/>
                <w:color w:val="000000" w:themeColor="text1"/>
                <w:kern w:val="0"/>
                <w:szCs w:val="21"/>
                <w14:textFill>
                  <w14:solidFill>
                    <w14:schemeClr w14:val="tx1"/>
                  </w14:solidFill>
                </w14:textFill>
              </w:rPr>
              <w:t>2周</w:t>
            </w:r>
            <w:r>
              <w:rPr>
                <w:rFonts w:hint="eastAsia" w:ascii="宋体" w:hAnsi="宋体" w:cs="宋体"/>
                <w:color w:val="000000" w:themeColor="text1"/>
                <w:kern w:val="0"/>
                <w:szCs w:val="21"/>
                <w14:textFill>
                  <w14:solidFill>
                    <w14:schemeClr w14:val="tx1"/>
                  </w14:solidFill>
                </w14:textFill>
              </w:rPr>
              <w:t>）</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色谱与波谱分析实验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药物化学实验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天然药物化学实验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药剂学实验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药物分析实验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药理学实验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药物合成反应实验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药物分子设计实验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导师制课程</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对标结果</w:t>
            </w:r>
          </w:p>
        </w:tc>
        <w:tc>
          <w:tcPr>
            <w:tcW w:w="8206" w:type="dxa"/>
            <w:gridSpan w:val="4"/>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符合国家标准</w:t>
            </w:r>
          </w:p>
        </w:tc>
      </w:tr>
    </w:tbl>
    <w:p>
      <w:pPr>
        <w:widowControl/>
        <w:spacing w:line="360" w:lineRule="auto"/>
        <w:rPr>
          <w:rFonts w:ascii="Times New Roman" w:hAnsi="Times New Roman" w:cs="宋体"/>
          <w:color w:val="000000" w:themeColor="text1"/>
          <w:kern w:val="0"/>
          <w:sz w:val="18"/>
          <w:szCs w:val="18"/>
          <w14:textFill>
            <w14:solidFill>
              <w14:schemeClr w14:val="tx1"/>
            </w14:solidFill>
          </w14:textFill>
        </w:rPr>
      </w:pPr>
    </w:p>
    <w:p>
      <w:pPr>
        <w:widowControl/>
        <w:spacing w:line="360" w:lineRule="auto"/>
        <w:rPr>
          <w:rFonts w:ascii="Times New Roman" w:hAnsi="Times New Roman" w:cs="宋体"/>
          <w:color w:val="000000" w:themeColor="text1"/>
          <w:kern w:val="0"/>
          <w:sz w:val="18"/>
          <w:szCs w:val="18"/>
          <w14:textFill>
            <w14:solidFill>
              <w14:schemeClr w14:val="tx1"/>
            </w14:solidFill>
          </w14:textFill>
        </w:rPr>
      </w:pPr>
      <w:r>
        <w:rPr>
          <w:rFonts w:hint="eastAsia" w:ascii="Times New Roman" w:hAnsi="Times New Roman" w:cs="宋体"/>
          <w:color w:val="000000" w:themeColor="text1"/>
          <w:kern w:val="0"/>
          <w:sz w:val="18"/>
          <w:szCs w:val="18"/>
          <w14:textFill>
            <w14:solidFill>
              <w14:schemeClr w14:val="tx1"/>
            </w14:solidFill>
          </w14:textFill>
        </w:rPr>
        <w:t>备注：国标要求内容与学校表格不一致的，可将国标表格拆分单列。</w:t>
      </w:r>
    </w:p>
    <w:p>
      <w:pPr>
        <w:widowControl/>
        <w:numPr>
          <w:ilvl w:val="0"/>
          <w:numId w:val="1"/>
        </w:numPr>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学生修满培养方案（教学计划）规定的必修课、选修课及有关环节，达到该专业教学计划规定的最低毕业学分数，并修完规定必须修读但不记学分的所有课程和环节，德、智、体、劳合格，即可毕业。满足学位授予相关文件要求的，授予药学学士学位。</w:t>
      </w:r>
    </w:p>
    <w:p>
      <w:pPr>
        <w:widowControl/>
        <w:numPr>
          <w:ilvl w:val="0"/>
          <w:numId w:val="1"/>
        </w:numPr>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其他课程修读要求及选课说明：各专业应简要说明学生各部分课程修读要求（包括体测、普通话、创新学分等），短学期修读要求，研究生课程修读要求，国际学生、港澳台学生修读要求等。</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（1）通识教育课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必修课：每个学生应选 27 学分。其中《心理素质与生涯发展》由《大学生心理健康教育》与《大学生就业与创业指导》2门课程构成，总计32学时。</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选修课：每个学生至少应选 8 学分，其中修读人文艺术类课程不少于 2 学分。创新创业基础知识模块和领军人才素质教育模块各修2学分，海洋知识与可持续发展模块、经济类或管理类模块至少应修 1 门课程。《创业基础》《中文写作实训》《逻辑与批判性思维》为限选，广西少数民族文化与现代发展模块、中国东盟历史文化与社会发展模块为选修；纯网络课程修读不超过总修读课程的50%。</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（2）学门核心课 必修课：每个学生应选 2</w:t>
      </w:r>
      <w:r>
        <w:rPr>
          <w:rFonts w:ascii="Times New Roman" w:hAnsi="Times New Roman" w:cs="宋体"/>
          <w:color w:val="000000" w:themeColor="text1"/>
          <w:kern w:val="0"/>
          <w:sz w:val="24"/>
          <w14:textFill>
            <w14:solidFill>
              <w14:schemeClr w14:val="tx1"/>
            </w14:solidFill>
          </w14:textFill>
        </w:rPr>
        <w:t>3</w:t>
      </w:r>
      <w:r>
        <w:rPr>
          <w:rFonts w:hint="eastAsia" w:ascii="Times New Roman" w:hAnsi="Times New Roman" w:cs="宋体"/>
          <w:color w:val="000000" w:themeColor="text1"/>
          <w:kern w:val="0"/>
          <w:sz w:val="24"/>
          <w14:textFill>
            <w14:solidFill>
              <w14:schemeClr w14:val="tx1"/>
            </w14:solidFill>
          </w14:textFill>
        </w:rPr>
        <w:t xml:space="preserve">.5 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（3）学类核心课 必修课：每个学生应选 </w:t>
      </w:r>
      <w:r>
        <w:rPr>
          <w:rFonts w:ascii="Times New Roman" w:hAnsi="Times New Roman" w:cs="宋体"/>
          <w:color w:val="000000" w:themeColor="text1"/>
          <w:kern w:val="0"/>
          <w:sz w:val="24"/>
          <w14:textFill>
            <w14:solidFill>
              <w14:schemeClr w14:val="tx1"/>
            </w14:solidFill>
          </w14:textFill>
        </w:rPr>
        <w:t>30</w:t>
      </w:r>
      <w:r>
        <w:rPr>
          <w:rFonts w:hint="eastAsia" w:ascii="Times New Roman" w:hAnsi="Times New Roman" w:cs="宋体"/>
          <w:color w:val="000000" w:themeColor="text1"/>
          <w:kern w:val="0"/>
          <w:sz w:val="24"/>
          <w14:textFill>
            <w14:solidFill>
              <w14:schemeClr w14:val="tx1"/>
            </w14:solidFill>
          </w14:textFill>
        </w:rPr>
        <w:t xml:space="preserve">.5 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（4）专业领域课 必修课：每个学生应选 1</w:t>
      </w:r>
      <w:r>
        <w:rPr>
          <w:rFonts w:ascii="Times New Roman" w:hAnsi="Times New Roman" w:cs="宋体"/>
          <w:color w:val="000000" w:themeColor="text1"/>
          <w:kern w:val="0"/>
          <w:sz w:val="24"/>
          <w14:textFill>
            <w14:solidFill>
              <w14:schemeClr w14:val="tx1"/>
            </w14:solidFill>
          </w14:textFill>
        </w:rPr>
        <w:t xml:space="preserve">1 </w:t>
      </w:r>
      <w:r>
        <w:rPr>
          <w:rFonts w:hint="eastAsia" w:ascii="Times New Roman" w:hAnsi="Times New Roman" w:cs="宋体"/>
          <w:color w:val="000000" w:themeColor="text1"/>
          <w:kern w:val="0"/>
          <w:sz w:val="24"/>
          <w14:textFill>
            <w14:solidFill>
              <w14:schemeClr w14:val="tx1"/>
            </w14:solidFill>
          </w14:textFill>
        </w:rPr>
        <w:t xml:space="preserve">学分。 选修课：每个学生应不少于 </w:t>
      </w:r>
      <w:r>
        <w:rPr>
          <w:rFonts w:hint="eastAsia" w:ascii="Times New Roman" w:hAnsi="Times New Roman" w:cs="宋体"/>
          <w:color w:val="FF0000"/>
          <w:kern w:val="0"/>
          <w:sz w:val="24"/>
        </w:rPr>
        <w:t>1</w:t>
      </w:r>
      <w:r>
        <w:rPr>
          <w:rFonts w:ascii="Times New Roman" w:hAnsi="Times New Roman" w:cs="宋体"/>
          <w:color w:val="FF0000"/>
          <w:kern w:val="0"/>
          <w:sz w:val="24"/>
        </w:rPr>
        <w:t>7</w:t>
      </w:r>
      <w:r>
        <w:rPr>
          <w:rFonts w:hint="eastAsia" w:ascii="Times New Roman" w:hAnsi="Times New Roman" w:cs="宋体"/>
          <w:color w:val="000000" w:themeColor="text1"/>
          <w:kern w:val="0"/>
          <w:sz w:val="24"/>
          <w14:textFill>
            <w14:solidFill>
              <w14:schemeClr w14:val="tx1"/>
            </w14:solidFill>
          </w14:textFill>
        </w:rPr>
        <w:t>学分，其中包含 4</w:t>
      </w:r>
      <w:r>
        <w:rPr>
          <w:rFonts w:ascii="Times New Roman" w:hAnsi="Times New Roman" w:cs="宋体"/>
          <w:color w:val="000000" w:themeColor="text1"/>
          <w:kern w:val="0"/>
          <w:sz w:val="24"/>
          <w14:textFill>
            <w14:solidFill>
              <w14:schemeClr w14:val="tx1"/>
            </w14:solidFill>
          </w14:textFill>
        </w:rPr>
        <w:t xml:space="preserve"> </w:t>
      </w:r>
      <w:r>
        <w:rPr>
          <w:rFonts w:hint="eastAsia" w:ascii="Times New Roman" w:hAnsi="Times New Roman" w:cs="宋体"/>
          <w:color w:val="000000" w:themeColor="text1"/>
          <w:kern w:val="0"/>
          <w:sz w:val="24"/>
          <w14:textFill>
            <w14:solidFill>
              <w14:schemeClr w14:val="tx1"/>
            </w14:solidFill>
          </w14:textFill>
        </w:rPr>
        <w:t>学分的弹性制大学英语学分，详见（9）。</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（5）实践课 必修课：每个学生应选 </w:t>
      </w:r>
      <w:r>
        <w:rPr>
          <w:rFonts w:hint="eastAsia" w:ascii="Times New Roman" w:hAnsi="Times New Roman" w:cs="宋体"/>
          <w:color w:val="FF0000"/>
          <w:kern w:val="0"/>
          <w:sz w:val="24"/>
        </w:rPr>
        <w:t>3</w:t>
      </w:r>
      <w:r>
        <w:rPr>
          <w:rFonts w:ascii="Times New Roman" w:hAnsi="Times New Roman" w:cs="宋体"/>
          <w:color w:val="FF0000"/>
          <w:kern w:val="0"/>
          <w:sz w:val="24"/>
        </w:rPr>
        <w:t>3</w:t>
      </w:r>
      <w:r>
        <w:rPr>
          <w:rFonts w:hint="eastAsia" w:ascii="Times New Roman" w:hAnsi="Times New Roman" w:cs="宋体"/>
          <w:color w:val="000000" w:themeColor="text1"/>
          <w:kern w:val="0"/>
          <w:sz w:val="24"/>
          <w14:textFill>
            <w14:solidFill>
              <w14:schemeClr w14:val="tx1"/>
            </w14:solidFill>
          </w14:textFill>
        </w:rPr>
        <w:t xml:space="preserve"> 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（6）关于普通话、劳动、安全教育与军事训练学分要求的说明 本专业学生必须按学校要求，完成 “普通话测试”, 完成安全教育与军事训练 2 周，劳动总和 1 周。以上课程必修完成但不计学分，不收取学费。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（7）关于创新创业实践学分的说明 创新实践学分要求不少于 2 学分。创新创业实践环节 2 学分，是指全日制本科生在校期间，参加第一课堂外的各类活动，取得具有一定创新意义的智力劳动成果或其他优秀成果，经学校评定获得的学分，由“科研学分”、“学科竞赛学分”、“技能学分”、“社会实践学分”和“创业实践学分”构成。创新创业学分的获得请参见</w:t>
      </w:r>
      <w:r>
        <w:rPr>
          <w:rFonts w:hint="eastAsia" w:ascii="Times New Roman" w:hAnsi="Times New Roman" w:cs="宋体"/>
          <w:color w:val="000000" w:themeColor="text1"/>
          <w:kern w:val="0"/>
          <w:sz w:val="24"/>
          <w:lang w:eastAsia="zh-CN"/>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广西大学关于创新实践学分的实施办法</w:t>
      </w:r>
      <w:r>
        <w:rPr>
          <w:rFonts w:hint="eastAsia" w:ascii="Times New Roman" w:hAnsi="Times New Roman" w:cs="宋体"/>
          <w:color w:val="000000" w:themeColor="text1"/>
          <w:kern w:val="0"/>
          <w:sz w:val="24"/>
          <w:lang w:eastAsia="zh-CN"/>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（获得的超额创新创业学分，仅能抵扣本专业非主干选修课）。</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“科研学分”是指主持或参与科学研究项目、公开发表学术论著、研究成果获奖、获国家专利等所获得的相应学分。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“学科竞赛学分”是指参加学科竞赛、科技活动、文艺表演等，获校级及以上奖励所获得的相应学分。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“技能学分”是指通过培训或考试获得各类技能或资格证书而获得的相应学分。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“社会实践学分”是指通过参加各类社会实践、调查、志愿者服务等活动获奖、写出较高质量的调查报告或研究论文，经审核、认定而获得的学分。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“创业实践学分”是指学生注册公司、工作室、事务所等并成功经营达到一定时间，或是参加其他创业活动，经审核、认定而获得的学分。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（8）学生可在本科阶段选修药学硕士研究生一年级课程（所选课程可认定替换通识选修课程、专业选修课学分，选课前需报教务处、研究生处备案，认定、替换方案由教务处审批）。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（9）大学英语 实行 4-8 弹性学分制。普通本科生入学后在本课程两年正常修读期内需参加全国大学英语四级或六级考试（或雅思、托福 等国际权威英语等级考试）。学生的全国统考四级（CET4）笔试成绩≥ 480 分或六级（CET6）笔试成绩≥ 450 分，且至少完成和通过了 2 门共 4 学分的课程学习后，凭有效成绩证明即可申请以 4 学分完成大学英语必修课程的修读。此类学生在修读获得 4 学分后，仍可通过不同方式保持英语学习四年不断线，如自愿交费在正修课时间段内修读多于必修的 2 门大学英语课程（含基础英语类和高级英语类），或参加后续英语选修课程、双语专业课程、全英专业课程学习等，并可任选其中两门成绩最高的作为毕业课程成绩计算绩点。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两年正常修读期内未达到 4 学分制修读条件但通过了全国大学英语四级考试的学生（CET4 达 425 分），从第三学期起可以不再修读基础英语类课程，而逐级修读更利于能力发展的高级英语类课程（高级英语（一）、高级英语（二）），直至完成 8 学分的必修课程学习。</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两年正常修读期内未达到 4 学分制修读条件也未通过全国大学英语四级考试的学生，只可以修读基础英语类课程，直至完成 8 学分的必修课程学习。</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本专业毕业学分数最低为 150，可以超出。</w:t>
      </w:r>
    </w:p>
    <w:p>
      <w:pPr>
        <w:widowControl/>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九、课程设置及学分分布</w:t>
      </w:r>
    </w:p>
    <w:p>
      <w:pPr>
        <w:widowControl/>
        <w:spacing w:before="120" w:beforeLines="50" w:after="120" w:afterLines="50" w:line="288"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（一）毕业要求实现矩阵</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将毕业要求细分为指标点，依据指标点合理设置相关课程和实践环节，制定毕业要求实现矩阵，保证课程体系全部支撑毕业要求。</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4</w:t>
      </w:r>
      <w:r>
        <w:rPr>
          <w:rFonts w:ascii="Times New Roman" w:hAnsi="Times New Roman"/>
          <w:b/>
          <w:color w:val="000000" w:themeColor="text1"/>
          <w:kern w:val="0"/>
          <w:sz w:val="24"/>
          <w14:textFill>
            <w14:solidFill>
              <w14:schemeClr w14:val="tx1"/>
            </w14:solidFill>
          </w14:textFill>
        </w:rPr>
        <w:t xml:space="preserve"> 毕业要求实现矩阵</w:t>
      </w:r>
    </w:p>
    <w:tbl>
      <w:tblPr>
        <w:tblStyle w:val="1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900"/>
        <w:gridCol w:w="596"/>
        <w:gridCol w:w="2024"/>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308" w:type="dxa"/>
            <w:gridSpan w:val="2"/>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毕业要求</w:t>
            </w:r>
          </w:p>
        </w:tc>
        <w:tc>
          <w:tcPr>
            <w:tcW w:w="2620" w:type="dxa"/>
            <w:gridSpan w:val="2"/>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指标点</w:t>
            </w:r>
          </w:p>
        </w:tc>
        <w:tc>
          <w:tcPr>
            <w:tcW w:w="4281" w:type="dxa"/>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知识架构：学生应具有广泛的自然科学与必要的人文社会科学领域知识积累，系统掌握化学、生物学、药学、相关医学的基本理论、基本知识。</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人文科学知识</w:t>
            </w:r>
          </w:p>
        </w:tc>
        <w:tc>
          <w:tcPr>
            <w:tcW w:w="4281" w:type="dxa"/>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通识选修课、</w:t>
            </w:r>
            <w:r>
              <w:rPr>
                <w:rFonts w:hint="eastAsia" w:ascii="宋体" w:hAnsi="宋体"/>
                <w:color w:val="000000" w:themeColor="text1"/>
                <w:kern w:val="0"/>
                <w:szCs w:val="21"/>
                <w14:textFill>
                  <w14:solidFill>
                    <w14:schemeClr w14:val="tx1"/>
                  </w14:solidFill>
                </w14:textFill>
              </w:rPr>
              <w:t>创业基础、</w:t>
            </w:r>
            <w:r>
              <w:rPr>
                <w:rFonts w:hint="eastAsia" w:ascii="宋体" w:hAnsi="宋体" w:cs="宋体"/>
                <w:color w:val="000000" w:themeColor="text1"/>
                <w:kern w:val="0"/>
                <w:szCs w:val="21"/>
                <w14:textFill>
                  <w14:solidFill>
                    <w14:schemeClr w14:val="tx1"/>
                  </w14:solidFill>
                </w14:textFill>
              </w:rPr>
              <w:t>中文写作实训、</w:t>
            </w:r>
            <w:r>
              <w:rPr>
                <w:rFonts w:hint="eastAsia" w:ascii="宋体" w:hAnsi="宋体"/>
                <w:color w:val="000000" w:themeColor="text1"/>
                <w:kern w:val="0"/>
                <w:szCs w:val="21"/>
                <w14:textFill>
                  <w14:solidFill>
                    <w14:schemeClr w14:val="tx1"/>
                  </w14:solidFill>
                </w14:textFill>
              </w:rPr>
              <w:t>逻辑与批判性思维训练、文献检索、普通话测试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自然科学基础知识</w:t>
            </w:r>
          </w:p>
        </w:tc>
        <w:tc>
          <w:tcPr>
            <w:tcW w:w="4281" w:type="dxa"/>
          </w:tcPr>
          <w:p>
            <w:pPr>
              <w:adjustRightInd w:val="0"/>
              <w:snapToGrid w:val="0"/>
              <w:spacing w:before="120" w:beforeLines="50" w:after="120" w:afterLines="50"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大学计算机基础、高等数学A</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线性代数</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概率论论与数理统计（理）</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大学物理I、大学物理实验、</w:t>
            </w:r>
            <w:r>
              <w:rPr>
                <w:rFonts w:hint="eastAsia" w:ascii="宋体" w:hAnsi="宋体"/>
                <w:color w:val="000000" w:themeColor="text1"/>
                <w:szCs w:val="21"/>
                <w14:textFill>
                  <w14:solidFill>
                    <w14:schemeClr w14:val="tx1"/>
                  </w14:solidFill>
                </w14:textFill>
              </w:rPr>
              <w:t>无机化学（二）</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机化学实验（二）、有机化学（二）、有机化学实验（二）、分析化学（二）、分析化学实验（二）、生物化学（一）、生物化学实验（一）、微生物学（一）、微生物学实验（一）、物理化学（三）、物理化学实验（三）、分子生物学（一）、分子生物学实验（一）、人体解剖生理学、病理生理学、细胞生物学、组织与胚胎学、医学免疫学、医学统计学、药用植物学与生药学、临床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药学相关的核心基础知识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药事管理与法规</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药剂学、药物化学、</w:t>
            </w:r>
            <w:r>
              <w:rPr>
                <w:rFonts w:hint="eastAsia" w:ascii="宋体" w:hAnsi="宋体" w:cs="宋体"/>
                <w:color w:val="000000" w:themeColor="text1"/>
                <w:kern w:val="0"/>
                <w:szCs w:val="21"/>
                <w14:textFill>
                  <w14:solidFill>
                    <w14:schemeClr w14:val="tx1"/>
                  </w14:solidFill>
                </w14:textFill>
              </w:rPr>
              <w:t>药物化学实验、药剂学实验、药物分析实验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药学相关的专业知识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英语、药物信息检索、药用高分子材料、药物合成反应、色谱与波谱分析、药物设计学、天然药物化学、生物药剂学与药物动力学、制药工艺学、药物分离技术、药物毒理学、色谱与波谱分析实验、天然药物化学实验、药理学实验、药物合成反应实验、药物分子设计实验、认识实习、药学专业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w:t>
            </w:r>
            <w:r>
              <w:rPr>
                <w:rFonts w:ascii="宋体" w:hAnsi="宋体" w:cs="宋体"/>
                <w:color w:val="000000" w:themeColor="text1"/>
                <w:kern w:val="0"/>
                <w:szCs w:val="21"/>
                <w14:textFill>
                  <w14:solidFill>
                    <w14:schemeClr w14:val="tx1"/>
                  </w14:solidFill>
                </w14:textFill>
              </w:rPr>
              <w:t>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药学领域前沿知识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能力要求：学生应当具有较强的学习能力、逻辑分析判断能力、解决问题能力以及良好的写作能力，能熟练地将所学知识应用于新药的设计开发，并具有良好的创新意识</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信息获取能力和学习能力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分析判断、解决问题的能力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知识应用能力、研究开发设计能力和创新意识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沟通与合作、组织与管理能力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熟练使用网络并熟悉资料查询、文献检索及运用现代信息技术获取相关信息的基本方法</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大学计算机基础</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文献检索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6</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掌握英语，达到国家《大学英语》教学规定的“较高要求;</w:t>
            </w: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掌握计算机基本知识和技能，通过计算机一级统考</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大学英语</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大学计算机基础</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7</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身心健康，达到国家规定的大学生体育锻炼标准和体质测试标准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思想道德修养与法律基础、心理素质与生涯发展、</w:t>
            </w:r>
            <w:r>
              <w:rPr>
                <w:rFonts w:ascii="宋体" w:hAnsi="宋体" w:cs="宋体"/>
                <w:color w:val="000000" w:themeColor="text1"/>
                <w:kern w:val="0"/>
                <w:szCs w:val="21"/>
                <w14:textFill>
                  <w14:solidFill>
                    <w14:schemeClr w14:val="tx1"/>
                  </w14:solidFill>
                </w14:textFill>
              </w:rPr>
              <w:t>体育</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安全教育与军事训练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8</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写作能力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素质要求：学生应当具备良好思想品德和职业道德，坚定正确的政治立场，良好的政治理论素养。在学习和工作中体现对职业、社会、环境的责任</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良好的政治理论素养</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思想道德修养与法律基础、中国近现代史纲要、马克思主义基本原理概论、毛泽东思想和中国特色社会主义理论体系概论、形势与政策、心理素质与生涯发展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良好的思想品德和职业道德</w:t>
            </w:r>
          </w:p>
        </w:tc>
        <w:tc>
          <w:tcPr>
            <w:tcW w:w="4281" w:type="dxa"/>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思想道德修养与法律基础、形势与政策、、中国近现代史纲要、马克思主义基本原理概论、毛泽东思想和中国特色社会主义理论体系概论、心理素质与生涯发展、</w:t>
            </w:r>
            <w:r>
              <w:rPr>
                <w:rFonts w:hint="eastAsia" w:ascii="宋体" w:hAnsi="宋体"/>
                <w:color w:val="000000" w:themeColor="text1"/>
                <w:kern w:val="0"/>
                <w:szCs w:val="21"/>
                <w14:textFill>
                  <w14:solidFill>
                    <w14:schemeClr w14:val="tx1"/>
                  </w14:solidFill>
                </w14:textFill>
              </w:rPr>
              <w:t>通识选修、创业基础、中文写作实训、逻辑与批判性思维训练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行业标准与政策法规</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药事管理、认识实习、药学专业实习、毕业设计（论文）、导师制课程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专业知识扎实，具有较强实践能力，积极创新、勇于批判的科学精神</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机化学实验（二）、有机化学（二）、有机化学实验（二）、分析化学（二）、分析化学实验（二）、生物化学（一）、生物化学实验（一）、微生物学（一）、微生物学实验（一）、物理化学（三）、物理化学实验（三）、分子生物学（一）、分子生物学实验（一）、人体解剖生理学、病理生理学、细胞生物学、组织与胚胎学、医学免疫学、医学统计学、药用植物学与生药学、临床医学概论、药事管理与法规</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药剂学、药物化学、</w:t>
            </w:r>
            <w:r>
              <w:rPr>
                <w:rFonts w:hint="eastAsia" w:ascii="宋体" w:hAnsi="宋体" w:cs="宋体"/>
                <w:color w:val="000000" w:themeColor="text1"/>
                <w:kern w:val="0"/>
                <w:szCs w:val="21"/>
                <w14:textFill>
                  <w14:solidFill>
                    <w14:schemeClr w14:val="tx1"/>
                  </w14:solidFill>
                </w14:textFill>
              </w:rPr>
              <w:t>药物化学实验、药剂学实验、药物分析实验、药学英语、药用高分子材料、药物合成反应、色谱与波谱分析、药物设计学、天然药物化学、生物药剂学与药物动力学、制药工艺学、药物分离技术、药物毒理学、色谱与波谱分析实验、天然药物化学实验、药理学实验、药物合成反应实验、药物分子设计实验、认识实习、药学专业实习、毕业设计（论文）、</w:t>
            </w:r>
            <w:r>
              <w:rPr>
                <w:rFonts w:hint="eastAsia" w:ascii="宋体" w:hAnsi="宋体"/>
                <w:color w:val="000000" w:themeColor="text1"/>
                <w:szCs w:val="21"/>
                <w14:textFill>
                  <w14:solidFill>
                    <w14:schemeClr w14:val="tx1"/>
                  </w14:solidFill>
                </w14:textFill>
              </w:rPr>
              <w:t>导师制课程、创新创业实践、文献检索、创业基础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具有良好的人际沟通与协调能力以及团队协作精神</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08" w:type="dxa"/>
            <w:vMerge w:val="continue"/>
            <w:vAlign w:val="center"/>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ind w:firstLine="420" w:firstLineChars="200"/>
              <w:rPr>
                <w:rFonts w:ascii="宋体" w:hAnsi="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C6</w:t>
            </w:r>
          </w:p>
        </w:tc>
        <w:tc>
          <w:tcPr>
            <w:tcW w:w="2024" w:type="dxa"/>
            <w:vAlign w:val="center"/>
          </w:tcPr>
          <w:p>
            <w:pPr>
              <w:spacing w:before="120" w:beforeLines="50" w:after="120" w:afterLines="50" w:line="288" w:lineRule="auto"/>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树立终身学习观念，具有自主学习能力，不断探索新知，追求卓越</w:t>
            </w:r>
          </w:p>
        </w:tc>
        <w:tc>
          <w:tcPr>
            <w:tcW w:w="4281" w:type="dxa"/>
          </w:tcPr>
          <w:p>
            <w:pPr>
              <w:spacing w:before="120" w:beforeLines="50" w:after="120" w:afterLines="50" w:line="288" w:lineRule="auto"/>
              <w:ind w:firstLine="420" w:firstLineChars="200"/>
              <w:rPr>
                <w:rFonts w:ascii="宋体" w:hAnsi="宋体"/>
                <w:bCs/>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bl>
    <w:p>
      <w:pPr>
        <w:widowControl/>
        <w:spacing w:line="360" w:lineRule="auto"/>
        <w:rPr>
          <w:rFonts w:ascii="Times New Roman" w:hAnsi="Times New Roman"/>
          <w:color w:val="000000" w:themeColor="text1"/>
          <w:kern w:val="0"/>
          <w:szCs w:val="21"/>
          <w14:textFill>
            <w14:solidFill>
              <w14:schemeClr w14:val="tx1"/>
            </w14:solidFill>
          </w14:textFill>
        </w:rPr>
      </w:pPr>
    </w:p>
    <w:p>
      <w:pPr>
        <w:widowControl/>
        <w:spacing w:before="120" w:beforeLines="50" w:after="120" w:afterLines="50" w:line="288"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（二）课程体系与毕业要求的关联度矩阵</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将每个课程、教学环节单列，逐个梳理与毕业要求的关联度，保证课程体系全部支撑毕业要求。</w:t>
      </w:r>
    </w:p>
    <w:tbl>
      <w:tblPr>
        <w:tblStyle w:val="9"/>
        <w:tblW w:w="5000" w:type="pct"/>
        <w:tblInd w:w="0" w:type="dxa"/>
        <w:tblLayout w:type="fixed"/>
        <w:tblCellMar>
          <w:top w:w="0" w:type="dxa"/>
          <w:left w:w="0" w:type="dxa"/>
          <w:bottom w:w="0" w:type="dxa"/>
          <w:right w:w="0" w:type="dxa"/>
        </w:tblCellMar>
      </w:tblPr>
      <w:tblGrid>
        <w:gridCol w:w="2649"/>
        <w:gridCol w:w="505"/>
        <w:gridCol w:w="456"/>
        <w:gridCol w:w="301"/>
        <w:gridCol w:w="299"/>
        <w:gridCol w:w="301"/>
        <w:gridCol w:w="299"/>
        <w:gridCol w:w="300"/>
        <w:gridCol w:w="298"/>
        <w:gridCol w:w="298"/>
        <w:gridCol w:w="298"/>
        <w:gridCol w:w="298"/>
        <w:gridCol w:w="298"/>
        <w:gridCol w:w="298"/>
        <w:gridCol w:w="298"/>
        <w:gridCol w:w="298"/>
        <w:gridCol w:w="298"/>
        <w:gridCol w:w="298"/>
        <w:gridCol w:w="298"/>
        <w:gridCol w:w="298"/>
        <w:gridCol w:w="298"/>
        <w:gridCol w:w="282"/>
      </w:tblGrid>
      <w:tr>
        <w:tblPrEx>
          <w:tblCellMar>
            <w:top w:w="0" w:type="dxa"/>
            <w:left w:w="0" w:type="dxa"/>
            <w:bottom w:w="0" w:type="dxa"/>
            <w:right w:w="0" w:type="dxa"/>
          </w:tblCellMar>
        </w:tblPrEx>
        <w:trPr>
          <w:trHeight w:val="765" w:hRule="atLeast"/>
        </w:trPr>
        <w:tc>
          <w:tcPr>
            <w:tcW w:w="142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课程、教学环节</w:t>
            </w:r>
          </w:p>
        </w:tc>
        <w:tc>
          <w:tcPr>
            <w:tcW w:w="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学分</w:t>
            </w:r>
          </w:p>
        </w:tc>
        <w:tc>
          <w:tcPr>
            <w:tcW w:w="2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课程性质</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2</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4</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A5</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2</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4</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5</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6</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7</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8</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2</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4</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5</w:t>
            </w:r>
          </w:p>
        </w:tc>
        <w:tc>
          <w:tcPr>
            <w:tcW w:w="152"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思想道德修养与法律基础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中国近现代史纲要</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马克思主义基本原理概论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毛泽东思想和中国特色社会主义理论体系概论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形势与政策</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心理素质与生涯发展</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大学计算机基础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大学英语(一) (二)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体育(一)(二)(三)(四)</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五有领军人才特色通识选修</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创业基础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中文写作实训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逻辑与批判性思维训练</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高等数学A（上）</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高等数学A（下）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线性代数</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概率论论与数理统计（理）</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大学物理I(上)</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大学物理I(下)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无机化学（二）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无机化学实验（二）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有机化学（二）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有机化学实验（二）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分析化学（二）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分析化学实验（二）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生物化学（一）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生物化学实验（一）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微生物学（一）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微生物学实验（一）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物理化学（三）</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物理化学实验（三）</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分子生物学（一）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分子生物学实验（一 ）</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药事管理</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药物分析</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药剂学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药物化学（双语）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大学英语(三)或高级英语（一）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大学英语(四)或高级英语（二）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人体解剖生理学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药学英语（全英文课程）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药物合成反应</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色谱与波谱分析</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天然药物化学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病理生理学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细胞生物学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组织与胚胎学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医学免疫学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医学统计学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药用植物学与生药学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临床医学概论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药用高分子材料</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药物设计学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生物药剂学与药物动力学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制药工艺学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药物分离技术</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药物毒理学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安全教育与军事训练</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普通话测试</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劳动</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金工实习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文献检索</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创新创业实践</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色谱与波谱分析实验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药物化学实验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323"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天然药物化学实验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312"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药剂学实验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药物分析实验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药理学实验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药物合成反应实验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药物分子设计实验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认识实习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药学专业实习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毕业设计（论文）</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导师制课程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bl>
    <w:p>
      <w:pPr>
        <w:widowControl/>
        <w:spacing w:before="120" w:beforeLines="50" w:after="120" w:afterLines="50" w:line="288" w:lineRule="auto"/>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注：根据课程对各项毕业要求的支撑强度分别用“H（高）、M（中）、L（弱）”表示。支撑强度的含义是指该课程覆盖毕业要求指标点的多寡，H至少覆盖80%，M至少覆盖50%，L至少覆盖30%。表中教学环节是指课程、实践环节、训练等。</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（三）课程设置明细表</w:t>
      </w:r>
    </w:p>
    <w:p>
      <w:pPr>
        <w:widowControl/>
        <w:spacing w:line="360"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表5-1</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通识教育课程（共35学分，其中通识必修27学分+通识选修8学分）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178"/>
        <w:gridCol w:w="872"/>
        <w:gridCol w:w="1016"/>
        <w:gridCol w:w="726"/>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课程代码</w:t>
            </w:r>
          </w:p>
        </w:tc>
        <w:tc>
          <w:tcPr>
            <w:tcW w:w="1151"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课程名称</w:t>
            </w:r>
          </w:p>
        </w:tc>
        <w:tc>
          <w:tcPr>
            <w:tcW w:w="461"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学分</w:t>
            </w:r>
          </w:p>
        </w:tc>
        <w:tc>
          <w:tcPr>
            <w:tcW w:w="53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周学时</w:t>
            </w:r>
          </w:p>
        </w:tc>
        <w:tc>
          <w:tcPr>
            <w:tcW w:w="384"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学期</w:t>
            </w:r>
          </w:p>
        </w:tc>
        <w:tc>
          <w:tcPr>
            <w:tcW w:w="1779"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88" w:type="pct"/>
            <w:tcBorders>
              <w:top w:val="single" w:color="auto" w:sz="4" w:space="0"/>
              <w:left w:val="single" w:color="auto" w:sz="4" w:space="0"/>
              <w:bottom w:val="single" w:color="auto" w:sz="4" w:space="0"/>
              <w:right w:val="single" w:color="auto" w:sz="4" w:space="0"/>
            </w:tcBorders>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1160121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马克思主义基本原理概论</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44</w:t>
            </w:r>
            <w:r>
              <w:rPr>
                <w:rFonts w:hint="eastAsia" w:ascii="宋体" w:hAnsi="宋体"/>
                <w:color w:val="000000" w:themeColor="text1"/>
                <w:kern w:val="0"/>
                <w:szCs w:val="21"/>
                <w14:textFill>
                  <w14:solidFill>
                    <w14:schemeClr w14:val="tx1"/>
                  </w14:solidFill>
                </w14:textFill>
              </w:rPr>
              <w:t>学时，实验上机</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1160120</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马克思主义</w:t>
            </w:r>
            <w:r>
              <w:rPr>
                <w:rFonts w:hint="eastAsia" w:ascii="宋体" w:hAnsi="宋体"/>
                <w:color w:val="000000" w:themeColor="text1"/>
                <w:kern w:val="0"/>
                <w:szCs w:val="21"/>
                <w14:textFill>
                  <w14:solidFill>
                    <w14:schemeClr w14:val="tx1"/>
                  </w14:solidFill>
                </w14:textFill>
              </w:rPr>
              <w:t>理论</w:t>
            </w:r>
            <w:r>
              <w:rPr>
                <w:rFonts w:ascii="宋体" w:hAnsi="宋体"/>
                <w:color w:val="000000" w:themeColor="text1"/>
                <w:kern w:val="0"/>
                <w:szCs w:val="21"/>
                <w14:textFill>
                  <w14:solidFill>
                    <w14:schemeClr w14:val="tx1"/>
                  </w14:solidFill>
                </w14:textFill>
              </w:rPr>
              <w:t>与实践</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36学时，其中理论课2学时，课外实践34学时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1160141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中国近现代史</w:t>
            </w:r>
            <w:r>
              <w:rPr>
                <w:rFonts w:hint="eastAsia" w:ascii="宋体" w:hAnsi="宋体"/>
                <w:color w:val="000000" w:themeColor="text1"/>
                <w:kern w:val="0"/>
                <w:szCs w:val="21"/>
                <w14:textFill>
                  <w14:solidFill>
                    <w14:schemeClr w14:val="tx1"/>
                  </w14:solidFill>
                </w14:textFill>
              </w:rPr>
              <w:t>纲要</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44</w:t>
            </w:r>
            <w:r>
              <w:rPr>
                <w:rFonts w:hint="eastAsia" w:ascii="宋体" w:hAnsi="宋体"/>
                <w:color w:val="000000" w:themeColor="text1"/>
                <w:kern w:val="0"/>
                <w:szCs w:val="21"/>
                <w14:textFill>
                  <w14:solidFill>
                    <w14:schemeClr w14:val="tx1"/>
                  </w14:solidFill>
                </w14:textFill>
              </w:rPr>
              <w:t>学时，实验上机</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1161051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毛泽东思想和中国特色社会主义理论体系概论</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36</w:t>
            </w:r>
            <w:r>
              <w:rPr>
                <w:rFonts w:hint="eastAsia" w:ascii="宋体" w:hAnsi="宋体"/>
                <w:color w:val="000000" w:themeColor="text1"/>
                <w:kern w:val="0"/>
                <w:szCs w:val="21"/>
                <w14:textFill>
                  <w14:solidFill>
                    <w14:schemeClr w14:val="tx1"/>
                  </w14:solidFill>
                </w14:textFill>
              </w:rPr>
              <w:t>学时，实验实践</w:t>
            </w: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学时，课外实践</w:t>
            </w:r>
            <w:r>
              <w:rPr>
                <w:rFonts w:ascii="宋体" w:hAnsi="宋体"/>
                <w:color w:val="000000" w:themeColor="text1"/>
                <w:kern w:val="0"/>
                <w:szCs w:val="21"/>
                <w14:textFill>
                  <w14:solidFill>
                    <w14:schemeClr w14:val="tx1"/>
                  </w14:solidFill>
                </w14:textFill>
              </w:rPr>
              <w:t>9</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1019169</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思想道德修养与法律基础</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44</w:t>
            </w:r>
            <w:r>
              <w:rPr>
                <w:rFonts w:hint="eastAsia" w:ascii="宋体" w:hAnsi="宋体"/>
                <w:color w:val="000000" w:themeColor="text1"/>
                <w:kern w:val="0"/>
                <w:szCs w:val="21"/>
                <w14:textFill>
                  <w14:solidFill>
                    <w14:schemeClr w14:val="tx1"/>
                  </w14:solidFill>
                </w14:textFill>
              </w:rPr>
              <w:t>学时，实验上机</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1160151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形势与政策</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36学时（理论课32学时，实验实践4学时）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1070021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心理素质与生涯发展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《大学生心理健康教育》与《大学生就业与创业指导》2门课程构成，总计32学时，其中课堂教学8学时，网络教学16学时，教学实践8学时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大学计算机基础C</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包括能力测试（0学分）、计算概论（0.5学分）和拓展模块（理工类，1.5学分/32学时）</w:t>
            </w:r>
            <w:r>
              <w:rPr>
                <w:rFonts w:ascii="宋体" w:hAnsi="宋体"/>
                <w:color w:val="000000" w:themeColor="text1"/>
                <w:kern w:val="0"/>
                <w:szCs w:val="21"/>
                <w14:textFill>
                  <w14:solidFill>
                    <w14:schemeClr w14:val="tx1"/>
                  </w14:solidFill>
                </w14:textFill>
              </w:rPr>
              <w:t>。第1学期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1250021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大学英语(一)</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1250031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大学英语(二)</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体育</w:t>
            </w:r>
            <w:r>
              <w:rPr>
                <w:rFonts w:ascii="宋体" w:hAnsi="宋体"/>
                <w:color w:val="000000" w:themeColor="text1"/>
                <w:kern w:val="0"/>
                <w:szCs w:val="21"/>
                <w14:textFill>
                  <w14:solidFill>
                    <w14:schemeClr w14:val="tx1"/>
                  </w14:solidFill>
                </w14:textFill>
              </w:rPr>
              <w:t>(一)(二)(三)(四)</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384" w:type="pct"/>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kern w:val="0"/>
                <w:szCs w:val="21"/>
                <w14:textFill>
                  <w14:solidFill>
                    <w14:schemeClr w14:val="tx1"/>
                  </w14:solidFill>
                </w14:textFill>
              </w:rPr>
            </w:pPr>
          </w:p>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每学期1学分（其中课内学时16学时，课外学时4学时），共计144学时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通识教育选修课</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w:t>
            </w:r>
          </w:p>
        </w:tc>
        <w:tc>
          <w:tcPr>
            <w:tcW w:w="384" w:type="pct"/>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kern w:val="0"/>
                <w:szCs w:val="21"/>
                <w14:textFill>
                  <w14:solidFill>
                    <w14:schemeClr w14:val="tx1"/>
                  </w14:solidFill>
                </w14:textFill>
              </w:rPr>
            </w:pP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累计应修学分不少于8学分。人文艺术类课程不少于2学分。凡是以审美和人文素养培养为核心、以创新能力培养为重点、以中华优秀传统文化传承发展和艺术经典教育为主要内容的课程均属于公共艺术类课程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*创业基础</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*中文写作实训</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*逻辑与批判性思维</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广西少数民族文化与现代发展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中国、东盟历史文化与社会发展</w:t>
            </w:r>
          </w:p>
          <w:p>
            <w:pPr>
              <w:snapToGrid w:val="0"/>
              <w:spacing w:line="360" w:lineRule="exact"/>
              <w:rPr>
                <w:rFonts w:ascii="宋体" w:hAnsi="宋体"/>
                <w:color w:val="000000" w:themeColor="text1"/>
                <w:kern w:val="0"/>
                <w:szCs w:val="21"/>
                <w14:textFill>
                  <w14:solidFill>
                    <w14:schemeClr w14:val="tx1"/>
                  </w14:solidFill>
                </w14:textFill>
              </w:rPr>
            </w:pP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海洋知识与可持续发展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jc w:val="center"/>
        <w:rPr>
          <w:rFonts w:hint="eastAsia" w:ascii="Times New Roman" w:hAnsi="Times New Roman" w:cs="宋体"/>
          <w:b/>
          <w:color w:val="000000" w:themeColor="text1"/>
          <w:kern w:val="0"/>
          <w:sz w:val="24"/>
          <w14:textFill>
            <w14:solidFill>
              <w14:schemeClr w14:val="tx1"/>
            </w14:solidFill>
          </w14:textFill>
        </w:rPr>
      </w:pPr>
    </w:p>
    <w:p>
      <w:pPr>
        <w:widowControl/>
        <w:spacing w:line="360" w:lineRule="auto"/>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表5-2</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学门核心课程（共</w:t>
      </w:r>
      <w:r>
        <w:rPr>
          <w:rFonts w:ascii="Times New Roman" w:hAnsi="Times New Roman" w:cs="宋体"/>
          <w:b/>
          <w:color w:val="000000" w:themeColor="text1"/>
          <w:kern w:val="0"/>
          <w:sz w:val="24"/>
          <w14:textFill>
            <w14:solidFill>
              <w14:schemeClr w14:val="tx1"/>
            </w14:solidFill>
          </w14:textFill>
        </w:rPr>
        <w:t>23.5</w:t>
      </w:r>
      <w:r>
        <w:rPr>
          <w:rFonts w:hint="eastAsia" w:ascii="Times New Roman" w:hAnsi="Times New Roman"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006"/>
        <w:gridCol w:w="1278"/>
        <w:gridCol w:w="1302"/>
        <w:gridCol w:w="833"/>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06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7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8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4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9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110011</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高等数学A（上）</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110012</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高等数学A（下）</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1110041</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线性代数</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1110064</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概率论与数理统计学（理）</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120011</w:t>
            </w:r>
          </w:p>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120021</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大学物理I</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96学时，其中第2学期64学时，4学分，第3学期32学时，2学分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40" w:type="pct"/>
            <w:vAlign w:val="center"/>
          </w:tcPr>
          <w:p>
            <w:pPr>
              <w:rPr>
                <w:rFonts w:ascii="宋体" w:hAnsi="宋体"/>
                <w:color w:val="000000" w:themeColor="text1"/>
                <w:szCs w:val="21"/>
                <w14:textFill>
                  <w14:solidFill>
                    <w14:schemeClr w14:val="tx1"/>
                  </w14:solidFill>
                </w14:textFill>
              </w:rPr>
            </w:pP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大学物理实验</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64学时，2学分，第2学期开出</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表5-3</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学类核心课程（共</w:t>
      </w:r>
      <w:r>
        <w:rPr>
          <w:rFonts w:ascii="宋体" w:hAnsi="宋体" w:cs="宋体"/>
          <w:b/>
          <w:color w:val="000000" w:themeColor="text1"/>
          <w:kern w:val="0"/>
          <w:sz w:val="24"/>
          <w14:textFill>
            <w14:solidFill>
              <w14:schemeClr w14:val="tx1"/>
            </w14:solidFill>
          </w14:textFill>
        </w:rPr>
        <w:t>30.5</w:t>
      </w:r>
      <w:r>
        <w:rPr>
          <w:rFonts w:hint="eastAsia" w:ascii="宋体" w:hAnsi="宋体"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69"/>
        <w:gridCol w:w="1158"/>
        <w:gridCol w:w="1158"/>
        <w:gridCol w:w="115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02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物理化学（三）</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物理化学实验（三）</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ind w:firstLine="241" w:firstLineChars="100"/>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表5-4</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专业核心课程（共</w:t>
      </w:r>
      <w:r>
        <w:rPr>
          <w:rFonts w:ascii="Times New Roman" w:hAnsi="Times New Roman" w:cs="宋体"/>
          <w:b/>
          <w:color w:val="000000" w:themeColor="text1"/>
          <w:kern w:val="0"/>
          <w:sz w:val="24"/>
          <w14:textFill>
            <w14:solidFill>
              <w14:schemeClr w14:val="tx1"/>
            </w14:solidFill>
          </w14:textFill>
        </w:rPr>
        <w:t>11</w:t>
      </w:r>
      <w:r>
        <w:rPr>
          <w:rFonts w:hint="eastAsia" w:ascii="Times New Roman" w:hAnsi="Times New Roman"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69"/>
        <w:gridCol w:w="1158"/>
        <w:gridCol w:w="1158"/>
        <w:gridCol w:w="115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02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1370095</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1370019</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1370011</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1370087</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1370015</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药物化学（双语）</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表5-5专业选修课程（共</w:t>
      </w:r>
      <w:r>
        <w:rPr>
          <w:rFonts w:ascii="宋体" w:hAnsi="宋体" w:cs="宋体"/>
          <w:b/>
          <w:color w:val="FF0000"/>
          <w:kern w:val="0"/>
          <w:sz w:val="24"/>
        </w:rPr>
        <w:t>17</w:t>
      </w:r>
      <w:r>
        <w:rPr>
          <w:rFonts w:hint="eastAsia" w:ascii="宋体" w:hAnsi="宋体" w:cs="宋体"/>
          <w:b/>
          <w:color w:val="000000" w:themeColor="text1"/>
          <w:kern w:val="0"/>
          <w:sz w:val="24"/>
          <w14:textFill>
            <w14:solidFill>
              <w14:schemeClr w14:val="tx1"/>
            </w14:solidFill>
          </w14:textFill>
        </w:rPr>
        <w:t>学分，*为限制性选修课程）</w:t>
      </w:r>
    </w:p>
    <w:tbl>
      <w:tblPr>
        <w:tblStyle w:val="9"/>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314"/>
        <w:gridCol w:w="1105"/>
        <w:gridCol w:w="988"/>
        <w:gridCol w:w="96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52"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9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19"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345"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大学英语(三)或高级英语（一）</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32学时，若未达免修条件，则需继续修读英语（三），如已达免修条件，鼓励修读高级英语（一）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大学英语(四)或高级英语（二）</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32学时，若未达免修条件，则需继续修读英语（四），如已达免修条件，鼓励修读高级英语（二）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*人体解剖生理学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1</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*药学英语</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细胞生物学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2</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组织与胚胎学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3</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医学免疫学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4</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医学统计学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药用植物学与生药学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临床医学概论</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药用高分子材料</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药物设计学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生物药剂学与药物动力学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制药工艺学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药物分离技术</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FF"/>
                <w:szCs w:val="21"/>
              </w:rPr>
            </w:pPr>
            <w:r>
              <w:rPr>
                <w:rFonts w:hint="eastAsia" w:ascii="宋体" w:hAnsi="宋体"/>
                <w:color w:val="0000FF"/>
                <w:szCs w:val="21"/>
              </w:rPr>
              <w:t>药物毒理学</w:t>
            </w:r>
          </w:p>
        </w:tc>
        <w:tc>
          <w:tcPr>
            <w:tcW w:w="598" w:type="pct"/>
            <w:vAlign w:val="center"/>
          </w:tcPr>
          <w:p>
            <w:pPr>
              <w:jc w:val="center"/>
              <w:rPr>
                <w:rFonts w:ascii="宋体" w:hAnsi="宋体"/>
                <w:color w:val="0000FF"/>
                <w:szCs w:val="21"/>
              </w:rPr>
            </w:pPr>
            <w:r>
              <w:rPr>
                <w:rFonts w:ascii="宋体" w:hAnsi="宋体"/>
                <w:color w:val="0000FF"/>
                <w:szCs w:val="21"/>
              </w:rPr>
              <w:t>1</w:t>
            </w:r>
          </w:p>
        </w:tc>
        <w:tc>
          <w:tcPr>
            <w:tcW w:w="534" w:type="pct"/>
            <w:vAlign w:val="center"/>
          </w:tcPr>
          <w:p>
            <w:pPr>
              <w:jc w:val="center"/>
              <w:rPr>
                <w:rFonts w:ascii="宋体" w:hAnsi="宋体"/>
                <w:color w:val="0000FF"/>
                <w:szCs w:val="21"/>
              </w:rPr>
            </w:pPr>
            <w:r>
              <w:rPr>
                <w:rFonts w:ascii="宋体" w:hAnsi="宋体"/>
                <w:color w:val="0000FF"/>
                <w:szCs w:val="21"/>
              </w:rPr>
              <w:t>1</w:t>
            </w:r>
          </w:p>
        </w:tc>
        <w:tc>
          <w:tcPr>
            <w:tcW w:w="519" w:type="pct"/>
            <w:vAlign w:val="center"/>
          </w:tcPr>
          <w:p>
            <w:pPr>
              <w:widowControl/>
              <w:jc w:val="center"/>
              <w:rPr>
                <w:rFonts w:hint="default" w:ascii="宋体" w:hAnsi="宋体" w:eastAsia="宋体" w:cs="宋体"/>
                <w:color w:val="0000FF"/>
                <w:kern w:val="0"/>
                <w:szCs w:val="21"/>
                <w:lang w:val="en-US" w:eastAsia="zh-CN"/>
              </w:rPr>
            </w:pPr>
            <w:r>
              <w:rPr>
                <w:rFonts w:hint="eastAsia" w:ascii="宋体" w:hAnsi="宋体" w:cs="宋体"/>
                <w:color w:val="0000FF"/>
                <w:kern w:val="0"/>
                <w:szCs w:val="21"/>
                <w:lang w:val="en-US" w:eastAsia="zh-CN"/>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p>
        </w:tc>
        <w:tc>
          <w:tcPr>
            <w:tcW w:w="2314" w:type="dxa"/>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基因工程药物</w:t>
            </w:r>
          </w:p>
        </w:tc>
        <w:tc>
          <w:tcPr>
            <w:tcW w:w="1105"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88"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60" w:type="dxa"/>
            <w:vAlign w:val="center"/>
          </w:tcPr>
          <w:p>
            <w:pPr>
              <w:widowControl/>
              <w:spacing w:line="360" w:lineRule="auto"/>
              <w:jc w:val="center"/>
              <w:rPr>
                <w:rFonts w:hint="eastAsia" w:ascii="宋体" w:hAnsi="宋体" w:eastAsia="宋体" w:cs="宋体"/>
                <w:color w:val="FF0000"/>
                <w:kern w:val="0"/>
                <w:sz w:val="21"/>
                <w:szCs w:val="21"/>
                <w:lang w:val="en-US" w:eastAsia="zh-CN" w:bidi="ar-SA"/>
              </w:rPr>
            </w:pPr>
            <w:r>
              <w:rPr>
                <w:rFonts w:hint="eastAsia" w:ascii="宋体" w:hAnsi="宋体" w:cs="宋体"/>
                <w:color w:val="FF0000"/>
                <w:kern w:val="0"/>
                <w:sz w:val="21"/>
                <w:szCs w:val="21"/>
                <w:lang w:val="en-US" w:eastAsia="zh-CN" w:bidi="ar-SA"/>
              </w:rPr>
              <w:t>3</w:t>
            </w:r>
          </w:p>
        </w:tc>
        <w:tc>
          <w:tcPr>
            <w:tcW w:w="2486" w:type="dxa"/>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p>
        </w:tc>
        <w:tc>
          <w:tcPr>
            <w:tcW w:w="2314" w:type="dxa"/>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生物技术药物</w:t>
            </w:r>
          </w:p>
        </w:tc>
        <w:tc>
          <w:tcPr>
            <w:tcW w:w="1105"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lang w:val="en-US" w:eastAsia="zh-CN"/>
              </w:rPr>
              <w:t>1</w:t>
            </w:r>
          </w:p>
        </w:tc>
        <w:tc>
          <w:tcPr>
            <w:tcW w:w="988"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lang w:val="en-US" w:eastAsia="zh-CN"/>
              </w:rPr>
              <w:t>1</w:t>
            </w:r>
          </w:p>
        </w:tc>
        <w:tc>
          <w:tcPr>
            <w:tcW w:w="960" w:type="dxa"/>
            <w:vAlign w:val="center"/>
          </w:tcPr>
          <w:p>
            <w:pPr>
              <w:widowControl/>
              <w:spacing w:line="360" w:lineRule="auto"/>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kern w:val="0"/>
                <w:sz w:val="21"/>
                <w:szCs w:val="21"/>
                <w:lang w:val="en-US" w:eastAsia="zh-CN"/>
              </w:rPr>
              <w:t>4</w:t>
            </w:r>
          </w:p>
        </w:tc>
        <w:tc>
          <w:tcPr>
            <w:tcW w:w="2486" w:type="dxa"/>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lang w:val="en-US" w:eastAsia="zh-CN"/>
              </w:rPr>
              <w:t>16</w:t>
            </w:r>
            <w:r>
              <w:rPr>
                <w:rFonts w:hint="eastAsia" w:ascii="宋体" w:hAnsi="宋体" w:eastAsia="宋体" w:cs="宋体"/>
                <w:color w:val="FF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p>
        </w:tc>
        <w:tc>
          <w:tcPr>
            <w:tcW w:w="2314" w:type="dxa"/>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海洋药物学</w:t>
            </w:r>
          </w:p>
        </w:tc>
        <w:tc>
          <w:tcPr>
            <w:tcW w:w="1105"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88"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60" w:type="dxa"/>
            <w:vAlign w:val="center"/>
          </w:tcPr>
          <w:p>
            <w:pPr>
              <w:widowControl/>
              <w:spacing w:line="360" w:lineRule="auto"/>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kern w:val="0"/>
                <w:sz w:val="21"/>
                <w:szCs w:val="21"/>
                <w:lang w:val="en-US" w:eastAsia="zh-CN"/>
              </w:rPr>
              <w:t>5</w:t>
            </w:r>
          </w:p>
        </w:tc>
        <w:tc>
          <w:tcPr>
            <w:tcW w:w="2486" w:type="dxa"/>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（研）高等药物化学（Ⅱ）</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（研）药物毒理学</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w:t>
            </w:r>
            <w:r>
              <w:rPr>
                <w:rFonts w:ascii="宋体" w:hAnsi="宋体" w:cs="宋体"/>
                <w:color w:val="000000" w:themeColor="text1"/>
                <w:kern w:val="0"/>
                <w:szCs w:val="21"/>
                <w14:textFill>
                  <w14:solidFill>
                    <w14:schemeClr w14:val="tx1"/>
                  </w14:solidFill>
                </w14:textFill>
              </w:rPr>
              <w:t>医药专利与知识产权保护</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8</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ind w:firstLine="482" w:firstLineChars="200"/>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表5-6</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集中实践（共</w:t>
      </w:r>
      <w:r>
        <w:rPr>
          <w:rFonts w:ascii="Times New Roman" w:hAnsi="Times New Roman" w:cs="宋体"/>
          <w:b/>
          <w:color w:val="FF0000"/>
          <w:kern w:val="0"/>
          <w:sz w:val="24"/>
        </w:rPr>
        <w:t>33</w:t>
      </w:r>
      <w:r>
        <w:rPr>
          <w:rFonts w:hint="eastAsia" w:ascii="Times New Roman" w:hAnsi="Times New Roman" w:cs="宋体"/>
          <w:b/>
          <w:color w:val="000000" w:themeColor="text1"/>
          <w:kern w:val="0"/>
          <w:sz w:val="24"/>
          <w14:textFill>
            <w14:solidFill>
              <w14:schemeClr w14:val="tx1"/>
            </w14:solidFill>
          </w14:textFill>
        </w:rPr>
        <w:t>学分，其中必修</w:t>
      </w:r>
      <w:r>
        <w:rPr>
          <w:rFonts w:ascii="Times New Roman" w:hAnsi="Times New Roman" w:cs="宋体"/>
          <w:b/>
          <w:color w:val="FF0000"/>
          <w:kern w:val="0"/>
          <w:sz w:val="24"/>
        </w:rPr>
        <w:t>33</w:t>
      </w:r>
      <w:r>
        <w:rPr>
          <w:rFonts w:hint="eastAsia" w:ascii="Times New Roman" w:hAnsi="Times New Roman" w:cs="宋体"/>
          <w:b/>
          <w:color w:val="000000" w:themeColor="text1"/>
          <w:kern w:val="0"/>
          <w:sz w:val="24"/>
          <w14:textFill>
            <w14:solidFill>
              <w14:schemeClr w14:val="tx1"/>
            </w14:solidFill>
          </w14:textFill>
        </w:rPr>
        <w:t>学分，选修</w:t>
      </w:r>
      <w:r>
        <w:rPr>
          <w:rFonts w:ascii="Times New Roman" w:hAnsi="Times New Roman" w:cs="宋体"/>
          <w:b/>
          <w:color w:val="000000" w:themeColor="text1"/>
          <w:kern w:val="0"/>
          <w:sz w:val="24"/>
          <w14:textFill>
            <w14:solidFill>
              <w14:schemeClr w14:val="tx1"/>
            </w14:solidFill>
          </w14:textFill>
        </w:rPr>
        <w:t>0</w:t>
      </w:r>
      <w:r>
        <w:rPr>
          <w:rFonts w:hint="eastAsia" w:ascii="Times New Roman" w:hAnsi="Times New Roman"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324"/>
        <w:gridCol w:w="1016"/>
        <w:gridCol w:w="1016"/>
        <w:gridCol w:w="1016"/>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2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47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安全教育与军事训练</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含大学生安全教育、2周军训和军事理论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普通话测试</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劳动</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每生必修，纳入学生综合素质测评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金工实习</w:t>
            </w:r>
          </w:p>
        </w:tc>
        <w:tc>
          <w:tcPr>
            <w:tcW w:w="53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文献检索</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创新创业实践</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第7学期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药物分子设计实验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认识实习</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药学专业实习</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毕业设计（论文）</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widowControl/>
              <w:jc w:val="center"/>
              <w:rPr>
                <w:rFonts w:hint="eastAsia" w:ascii="宋体" w:hAnsi="宋体" w:eastAsia="宋体" w:cs="宋体"/>
                <w:color w:val="000000" w:themeColor="text1"/>
                <w:kern w:val="0"/>
                <w:szCs w:val="21"/>
                <w:lang w:eastAsia="zh-CN"/>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7</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w:t>
            </w:r>
            <w:r>
              <w:rPr>
                <w:rFonts w:hint="eastAsia"/>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实施全程导师制开展科研、竞赛等训练活动，根据学生成果于第</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学期给予学分</w:t>
            </w:r>
          </w:p>
        </w:tc>
      </w:tr>
    </w:tbl>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在集中实践环节中，除了学校规定的实践内容外，</w:t>
      </w:r>
      <w:r>
        <w:rPr>
          <w:rFonts w:hint="eastAsia" w:ascii="宋体" w:hAnsi="宋体"/>
          <w:color w:val="000000" w:themeColor="text1"/>
          <w:sz w:val="24"/>
          <w14:textFill>
            <w14:solidFill>
              <w14:schemeClr w14:val="tx1"/>
            </w14:solidFill>
          </w14:textFill>
        </w:rPr>
        <w:t>课程设置</w:t>
      </w:r>
      <w:r>
        <w:rPr>
          <w:rFonts w:ascii="宋体" w:hAnsi="宋体"/>
          <w:color w:val="000000" w:themeColor="text1"/>
          <w:sz w:val="24"/>
          <w14:textFill>
            <w14:solidFill>
              <w14:schemeClr w14:val="tx1"/>
            </w14:solidFill>
          </w14:textFill>
        </w:rPr>
        <w:t>重点体现的三个方面：</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专业核心课程对应的实验，包括药物化学实验、天然药物化学实验、</w:t>
      </w:r>
      <w:r>
        <w:rPr>
          <w:rFonts w:ascii="宋体" w:hAnsi="宋体"/>
          <w:color w:val="000000" w:themeColor="text1"/>
          <w:sz w:val="24"/>
          <w14:textFill>
            <w14:solidFill>
              <w14:schemeClr w14:val="tx1"/>
            </w14:solidFill>
          </w14:textFill>
        </w:rPr>
        <w:t>药剂学实验、药物分析实验、药理学实验</w:t>
      </w:r>
      <w:r>
        <w:rPr>
          <w:rFonts w:hint="eastAsia" w:ascii="宋体" w:hAnsi="宋体"/>
          <w:color w:val="000000" w:themeColor="text1"/>
          <w:sz w:val="24"/>
          <w14:textFill>
            <w14:solidFill>
              <w14:schemeClr w14:val="tx1"/>
            </w14:solidFill>
          </w14:textFill>
        </w:rPr>
        <w:t>、药物分子设计实验和色谱与波谱分析实验，共1</w:t>
      </w:r>
      <w:r>
        <w:rPr>
          <w:rFonts w:ascii="宋体" w:hAnsi="宋体"/>
          <w:color w:val="000000" w:themeColor="text1"/>
          <w:sz w:val="24"/>
          <w14:textFill>
            <w14:solidFill>
              <w14:schemeClr w14:val="tx1"/>
            </w14:solidFill>
          </w14:textFill>
        </w:rPr>
        <w:t>6学分。</w:t>
      </w:r>
      <w:r>
        <w:rPr>
          <w:rFonts w:hint="eastAsia" w:ascii="宋体" w:hAnsi="宋体"/>
          <w:color w:val="000000" w:themeColor="text1"/>
          <w:sz w:val="24"/>
          <w14:textFill>
            <w14:solidFill>
              <w14:schemeClr w14:val="tx1"/>
            </w14:solidFill>
          </w14:textFill>
        </w:rPr>
        <w:t>通过专业实验巩固药学学生专业基础知识，提高学生的动手能力。</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）药学专业实习。药学学生通过双向选择，可以去制药企业、研究院所、医院或者医药物流进行实习，共6学分。</w:t>
      </w:r>
      <w:r>
        <w:rPr>
          <w:rFonts w:hint="eastAsia" w:ascii="宋体" w:hAnsi="宋体"/>
          <w:color w:val="000000" w:themeColor="text1"/>
          <w:sz w:val="24"/>
          <w14:textFill>
            <w14:solidFill>
              <w14:schemeClr w14:val="tx1"/>
            </w14:solidFill>
          </w14:textFill>
        </w:rPr>
        <w:t>学生成绩评定由学校和实习单位共同评定。实习单位填写评语，学校根据学生提供的实习报告（不少于5</w:t>
      </w:r>
      <w:r>
        <w:rPr>
          <w:rFonts w:ascii="宋体" w:hAnsi="宋体"/>
          <w:color w:val="000000" w:themeColor="text1"/>
          <w:sz w:val="24"/>
          <w14:textFill>
            <w14:solidFill>
              <w14:schemeClr w14:val="tx1"/>
            </w14:solidFill>
          </w14:textFill>
        </w:rPr>
        <w:t>000字</w:t>
      </w:r>
      <w:r>
        <w:rPr>
          <w:rFonts w:hint="eastAsia" w:ascii="宋体" w:hAnsi="宋体"/>
          <w:color w:val="000000" w:themeColor="text1"/>
          <w:sz w:val="24"/>
          <w14:textFill>
            <w14:solidFill>
              <w14:schemeClr w14:val="tx1"/>
            </w14:solidFill>
          </w14:textFill>
        </w:rPr>
        <w:t>）成绩各占5</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确定药学专业实习成绩。</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（3）毕业设计（论文）由本校导师或者校外导师提供题目，时间不少于1</w:t>
      </w:r>
      <w:r>
        <w:rPr>
          <w:rFonts w:ascii="宋体" w:hAnsi="宋体"/>
          <w:color w:val="000000" w:themeColor="text1"/>
          <w:sz w:val="24"/>
          <w14:textFill>
            <w14:solidFill>
              <w14:schemeClr w14:val="tx1"/>
            </w14:solidFill>
          </w14:textFill>
        </w:rPr>
        <w:t>2周，共6学分</w:t>
      </w:r>
      <w:r>
        <w:rPr>
          <w:rFonts w:hint="eastAsia" w:ascii="宋体" w:hAnsi="宋体"/>
          <w:color w:val="000000" w:themeColor="text1"/>
          <w:sz w:val="24"/>
          <w14:textFill>
            <w14:solidFill>
              <w14:schemeClr w14:val="tx1"/>
            </w14:solidFill>
          </w14:textFill>
        </w:rPr>
        <w:t>。</w:t>
      </w:r>
    </w:p>
    <w:p>
      <w:pPr>
        <w:widowControl/>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十、协同育人培养方案</w:t>
      </w: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1.协同培养的目标及要求</w:t>
      </w:r>
    </w:p>
    <w:p>
      <w:pPr>
        <w:widowControl/>
        <w:spacing w:before="120" w:beforeLines="50" w:after="120" w:afterLines="50" w:line="288"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目标</w:t>
      </w:r>
      <w:r>
        <w:rPr>
          <w:rFonts w:hint="eastAsia" w:ascii="宋体" w:hAnsi="宋体" w:cs="宋体"/>
          <w:color w:val="000000" w:themeColor="text1"/>
          <w:kern w:val="0"/>
          <w:sz w:val="24"/>
          <w14:textFill>
            <w14:solidFill>
              <w14:schemeClr w14:val="tx1"/>
            </w14:solidFill>
          </w14:textFill>
        </w:rPr>
        <w:t>：学生通过本科阶段的制药企业实践，熟悉药学相关的基本方法和主要技术标准，提高综合运用知识的能力；了解合作单位实际需要，培养职业素养、分析能力、沟通表达能力、团结协作能力、管理能力等综合能力，从而具有独立从事药学领域内某一方向的能力，以适应未来科技发展和社会进步的需要，成为面向未来的具有较强实践能力、创新精神的药学人才。</w:t>
      </w:r>
    </w:p>
    <w:p>
      <w:pPr>
        <w:widowControl/>
        <w:spacing w:before="120" w:beforeLines="50" w:after="120" w:afterLines="50" w:line="288"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要求</w:t>
      </w:r>
      <w:r>
        <w:rPr>
          <w:rFonts w:hint="eastAsia" w:ascii="宋体" w:hAnsi="宋体" w:cs="宋体"/>
          <w:color w:val="000000" w:themeColor="text1"/>
          <w:kern w:val="0"/>
          <w:sz w:val="24"/>
          <w14:textFill>
            <w14:solidFill>
              <w14:schemeClr w14:val="tx1"/>
            </w14:solidFill>
          </w14:textFill>
        </w:rPr>
        <w:t>：学生通过校企联合培养，了解制药企业、医院和研究院所实际需要，加深对科学、技术、职业以及社会经济等方面基本知识的理解与掌握，培养知识综合能力、规范运用能力、分析能力、沟通交流能力、团结协作能力、管理能力、表达能力等综合能力，提升职业道德、职业精神、以及坚定的追求卓越的人生态度，从而具有独立从事药学领域的能力。</w:t>
      </w:r>
    </w:p>
    <w:p>
      <w:pPr>
        <w:spacing w:before="120" w:beforeLines="50" w:after="120" w:afterLines="50" w:line="288" w:lineRule="auto"/>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表</w:t>
      </w:r>
      <w:r>
        <w:rPr>
          <w:rFonts w:hint="eastAsia" w:ascii="宋体" w:hAnsi="宋体"/>
          <w:b/>
          <w:color w:val="000000" w:themeColor="text1"/>
          <w:sz w:val="24"/>
          <w14:textFill>
            <w14:solidFill>
              <w14:schemeClr w14:val="tx1"/>
            </w14:solidFill>
          </w14:textFill>
        </w:rPr>
        <w:t>6</w:t>
      </w:r>
      <w:r>
        <w:rPr>
          <w:rFonts w:ascii="宋体" w:hAnsi="宋体"/>
          <w:b/>
          <w:color w:val="000000" w:themeColor="text1"/>
          <w:sz w:val="24"/>
          <w14:textFill>
            <w14:solidFill>
              <w14:schemeClr w14:val="tx1"/>
            </w14:solidFill>
          </w14:textFill>
        </w:rPr>
        <w:t xml:space="preserve"> 企业培养标准实现</w:t>
      </w:r>
      <w:r>
        <w:rPr>
          <w:rFonts w:hint="eastAsia" w:ascii="宋体" w:hAnsi="宋体"/>
          <w:b/>
          <w:color w:val="000000" w:themeColor="text1"/>
          <w:sz w:val="24"/>
          <w14:textFill>
            <w14:solidFill>
              <w14:schemeClr w14:val="tx1"/>
            </w14:solidFill>
          </w14:textFill>
        </w:rPr>
        <w:t>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899"/>
        <w:gridCol w:w="71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45" w:type="pct"/>
            <w:gridSpan w:val="2"/>
            <w:tcBorders>
              <w:top w:val="single" w:color="auto" w:sz="4" w:space="0"/>
            </w:tcBorders>
            <w:vAlign w:val="center"/>
          </w:tcPr>
          <w:p>
            <w:pP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企业培养标准</w:t>
            </w:r>
          </w:p>
        </w:tc>
        <w:tc>
          <w:tcPr>
            <w:tcW w:w="3755" w:type="pct"/>
            <w:tcBorders>
              <w:top w:val="single" w:color="auto" w:sz="4" w:space="0"/>
            </w:tcBorders>
            <w:vAlign w:val="center"/>
          </w:tcPr>
          <w:p>
            <w:pP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企业培养环节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41" w:type="pct"/>
            <w:vMerge w:val="restart"/>
            <w:vAlign w:val="center"/>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知识</w:t>
            </w: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人文社会科学知识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通过企业的社会实习，激发学生的学习热情，了解社会、知识产权、法律法规等知识。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2"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工具性知识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在完成相关实习报告过程中，通过查阅文献、撰写报告，熟悉对文献检索工具、办公操作软件等工具性知识。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专业知识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通过企业各阶段的实习和设计，对药学专业基础知识的掌握得到进一步加强，尤其是规范的理解与应用。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相关领域知识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通过认识实习、社会实习和毕业实习，了解药学相关领域的知识。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41" w:type="pct"/>
            <w:vMerge w:val="restart"/>
            <w:vAlign w:val="center"/>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能</w:t>
            </w:r>
            <w:r>
              <w:rPr>
                <w:rFonts w:ascii="Times New Roman" w:hAnsi="Times New Roman"/>
                <w:color w:val="000000" w:themeColor="text1"/>
                <w:szCs w:val="21"/>
                <w14:textFill>
                  <w14:solidFill>
                    <w14:schemeClr w14:val="tx1"/>
                  </w14:solidFill>
                </w14:textFill>
              </w:rPr>
              <w:t>力</w:t>
            </w: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获取知识能力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通过各阶段的学习和撰写报告，掌握资料查询、归类、综合等基本方法，并掌握获取知识的能力。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应用知识能力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通过制药企业实习、讨论、改进和总结，培养学生对药学知识的理解能力和应用能力。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开拓创新能力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在药学实践各阶段，积极参与药学技术创新和开发，培养学生创新意识和创新精神，加强学生创新能力的训练。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组织管理能力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通过参与药学相关的各项活动，了解药学项目的任务、人力和资源的协调与分配，并训练学生的组织和管理能力。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交流合作能力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通过与项目组的各项活动，培养学生的自主能力、在集体中的合作能力以及沟通交流能力，并通过实习报告撰写、汇报与答辩，提高学生的书面及语言表达能力。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5" w:hRule="atLeast"/>
          <w:jc w:val="center"/>
        </w:trPr>
        <w:tc>
          <w:tcPr>
            <w:tcW w:w="241" w:type="pct"/>
            <w:tcBorders>
              <w:bottom w:val="single" w:color="auto" w:sz="4" w:space="0"/>
            </w:tcBorders>
            <w:vAlign w:val="center"/>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素质</w:t>
            </w:r>
          </w:p>
        </w:tc>
        <w:tc>
          <w:tcPr>
            <w:tcW w:w="1004" w:type="pct"/>
            <w:tcBorders>
              <w:bottom w:val="single" w:color="auto" w:sz="4" w:space="0"/>
            </w:tcBorders>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人文素质</w:t>
            </w:r>
          </w:p>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科学素质</w:t>
            </w:r>
          </w:p>
          <w:p>
            <w:pPr>
              <w:adjustRightInd w:val="0"/>
              <w:snapToGrid w:val="0"/>
              <w:spacing w:line="320" w:lineRule="exact"/>
              <w:rPr>
                <w:rFonts w:ascii="Times New Roman" w:hAnsi="Times New Roman"/>
                <w:color w:val="000000" w:themeColor="text1"/>
                <w:szCs w:val="21"/>
                <w14:textFill>
                  <w14:solidFill>
                    <w14:schemeClr w14:val="tx1"/>
                  </w14:solidFill>
                </w14:textFill>
              </w:rPr>
            </w:pPr>
          </w:p>
        </w:tc>
        <w:tc>
          <w:tcPr>
            <w:tcW w:w="3755" w:type="pct"/>
            <w:tcBorders>
              <w:bottom w:val="single" w:color="auto" w:sz="4" w:space="0"/>
            </w:tcBorders>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通过与大师专家的直接接触，学习和感受大师的科学态度、科学思维和工作精神。通过学习先进企业文化，培养学生良好的职业道德以及社会责任感。</w:t>
            </w:r>
          </w:p>
        </w:tc>
      </w:tr>
    </w:tbl>
    <w:p>
      <w:pPr>
        <w:spacing w:line="400" w:lineRule="exact"/>
        <w:rPr>
          <w:rFonts w:ascii="Times New Roman" w:hAnsi="Times New Roman"/>
          <w:color w:val="000000" w:themeColor="text1"/>
          <w:szCs w:val="21"/>
          <w14:textFill>
            <w14:solidFill>
              <w14:schemeClr w14:val="tx1"/>
            </w14:solidFill>
          </w14:textFill>
        </w:rPr>
      </w:pP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2.协同培养的教学/实践内容</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7</w:t>
      </w:r>
      <w:r>
        <w:rPr>
          <w:rFonts w:ascii="Times New Roman" w:hAnsi="Times New Roman"/>
          <w:b/>
          <w:color w:val="000000" w:themeColor="text1"/>
          <w:kern w:val="0"/>
          <w:sz w:val="24"/>
          <w14:textFill>
            <w14:solidFill>
              <w14:schemeClr w14:val="tx1"/>
            </w14:solidFill>
          </w14:textFill>
        </w:rPr>
        <w:t xml:space="preserve"> 在企业开展的教学/实践内容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893"/>
        <w:gridCol w:w="4863"/>
        <w:gridCol w:w="871"/>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实施学期（时间）</w:t>
            </w:r>
          </w:p>
        </w:tc>
        <w:tc>
          <w:tcPr>
            <w:tcW w:w="472"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周数</w:t>
            </w:r>
          </w:p>
        </w:tc>
        <w:tc>
          <w:tcPr>
            <w:tcW w:w="257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教学/实践内容</w:t>
            </w:r>
          </w:p>
        </w:tc>
        <w:tc>
          <w:tcPr>
            <w:tcW w:w="46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属性</w:t>
            </w:r>
          </w:p>
        </w:tc>
        <w:tc>
          <w:tcPr>
            <w:tcW w:w="398"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5（1</w:t>
            </w:r>
            <w:r>
              <w:rPr>
                <w:rFonts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15周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认识实习</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7（1-</w:t>
            </w:r>
            <w:r>
              <w:rPr>
                <w:rFonts w:ascii="宋体" w:hAnsi="宋体"/>
                <w:bCs/>
                <w:color w:val="000000" w:themeColor="text1"/>
                <w:szCs w:val="21"/>
                <w14:textFill>
                  <w14:solidFill>
                    <w14:schemeClr w14:val="tx1"/>
                  </w14:solidFill>
                </w14:textFill>
              </w:rPr>
              <w:t>11周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r>
              <w:rPr>
                <w:rFonts w:ascii="宋体" w:hAnsi="宋体"/>
                <w:bCs/>
                <w:color w:val="000000" w:themeColor="text1"/>
                <w:szCs w:val="21"/>
                <w14:textFill>
                  <w14:solidFill>
                    <w14:schemeClr w14:val="tx1"/>
                  </w14:solidFill>
                </w14:textFill>
              </w:rPr>
              <w:t>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药学专业实习</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8（1-</w:t>
            </w:r>
            <w:r>
              <w:rPr>
                <w:rFonts w:ascii="宋体" w:hAnsi="宋体"/>
                <w:bCs/>
                <w:color w:val="000000" w:themeColor="text1"/>
                <w:szCs w:val="21"/>
                <w14:textFill>
                  <w14:solidFill>
                    <w14:schemeClr w14:val="tx1"/>
                  </w14:solidFill>
                </w14:textFill>
              </w:rPr>
              <w:t>12周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毕业论文</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bl>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3.协同培养的考核方式</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（1）各阶段内容与形式根据培养方案执行。在校企联合人才培养过程中，学校与企业共同制订各阶段企业学养标准和考核要求，共同对学生在企业学习阶段的培养质量进行评价。</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按照“知识、能力、素质”全面发展的要求，以学生综合能力评价和人格养成作为核心，实现学生学习成绩评价方式多元化，包括大作业、实践报告报告、在企业实习的综合表现、企业导师评价、实习答辩等，均将成为课程考核学生的重要方式。</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根据培养目标提出新的毕业要求，增加对能力的要求、对药学实践的要求和毕业设计的要求等。对于各专业的特殊要求、学生在学习过程中所参与的一些有意义的活动、取得的各类成果和经历，均在毕业成绩单上反映出来。</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药学学生通过双向选择，可以去制药企业、研究院所、医院或者医药物流进行实习</w:t>
      </w:r>
      <w:r>
        <w:rPr>
          <w:rFonts w:hint="eastAsia" w:ascii="宋体" w:hAnsi="宋体" w:cs="宋体"/>
          <w:color w:val="000000" w:themeColor="text1"/>
          <w:kern w:val="0"/>
          <w:sz w:val="24"/>
          <w14:textFill>
            <w14:solidFill>
              <w14:schemeClr w14:val="tx1"/>
            </w14:solidFill>
          </w14:textFill>
        </w:rPr>
        <w:t>，实习总结不少于500</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字。实践活动所在企业（单位）和学校指导教师分别就实践学习情况和实践报告内容给出考核意见，成绩各占5</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然后由学院专任教师进行考核，根据加权平均分将考核结果分成5个等级：优秀（90分以上）、良好（80－89分）、中等（70－79分）、及格（60－69分）、不及格（60分以下），成绩不及格者必须重修。毕业设计（论文）由本校导师或者校外导师提供题目，时间不少于1</w:t>
      </w:r>
      <w:r>
        <w:rPr>
          <w:rFonts w:ascii="宋体" w:hAnsi="宋体" w:cs="宋体"/>
          <w:color w:val="000000" w:themeColor="text1"/>
          <w:kern w:val="0"/>
          <w:sz w:val="24"/>
          <w14:textFill>
            <w14:solidFill>
              <w14:schemeClr w14:val="tx1"/>
            </w14:solidFill>
          </w14:textFill>
        </w:rPr>
        <w:t>2周</w:t>
      </w:r>
      <w:r>
        <w:rPr>
          <w:rFonts w:hint="eastAsia" w:ascii="宋体" w:hAnsi="宋体" w:cs="宋体"/>
          <w:color w:val="000000" w:themeColor="text1"/>
          <w:kern w:val="0"/>
          <w:sz w:val="24"/>
          <w14:textFill>
            <w14:solidFill>
              <w14:schemeClr w14:val="tx1"/>
            </w14:solidFill>
          </w14:textFill>
        </w:rPr>
        <w:t>。</w:t>
      </w: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 实施企业</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9</w:t>
      </w:r>
      <w:r>
        <w:rPr>
          <w:rFonts w:ascii="Times New Roman" w:hAnsi="Times New Roman"/>
          <w:b/>
          <w:color w:val="000000" w:themeColor="text1"/>
          <w:kern w:val="0"/>
          <w:sz w:val="24"/>
          <w14:textFill>
            <w14:solidFill>
              <w14:schemeClr w14:val="tx1"/>
            </w14:solidFill>
          </w14:textFill>
        </w:rPr>
        <w:t xml:space="preserve"> 实施协同培养企业要求</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036"/>
        <w:gridCol w:w="2155"/>
        <w:gridCol w:w="267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序号</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企业具体要求</w:t>
            </w:r>
          </w:p>
        </w:tc>
        <w:tc>
          <w:tcPr>
            <w:tcW w:w="1139"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培养环节</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具备条件</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参观企业</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由企业人员讲解</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认识实习</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企业为化工制药企业</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顶岗实习</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药学专业实习</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实习时间</w:t>
            </w:r>
            <w:r>
              <w:rPr>
                <w:rFonts w:hint="eastAsia" w:ascii="宋体" w:hAnsi="宋体"/>
                <w:color w:val="000000" w:themeColor="text1"/>
                <w:sz w:val="21"/>
                <w:szCs w:val="21"/>
                <w14:textFill>
                  <w14:solidFill>
                    <w14:schemeClr w14:val="tx1"/>
                  </w14:solidFill>
                </w14:textFill>
              </w:rPr>
              <w:t>3个月</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具有高级职称或者硕士以上学位作为导师</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毕业论文</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完成毕业论文时间</w:t>
            </w:r>
            <w:r>
              <w:rPr>
                <w:rFonts w:hint="eastAsia" w:ascii="宋体" w:hAnsi="宋体"/>
                <w:color w:val="000000" w:themeColor="text1"/>
                <w:sz w:val="21"/>
                <w:szCs w:val="21"/>
                <w14:textFill>
                  <w14:solidFill>
                    <w14:schemeClr w14:val="tx1"/>
                  </w14:solidFill>
                </w14:textFill>
              </w:rPr>
              <w:t>3个月</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bl>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说明：参与校企协同培养的学生修读的课程和参加的实践环节，可以置换相应学分。</w:t>
      </w:r>
    </w:p>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表10 部分校企联合培养单位及培养内容</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330"/>
        <w:gridCol w:w="1037"/>
        <w:gridCol w:w="1035"/>
        <w:gridCol w:w="1278"/>
        <w:gridCol w:w="100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编号</w:t>
            </w:r>
          </w:p>
        </w:tc>
        <w:tc>
          <w:tcPr>
            <w:tcW w:w="1760"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企业单位</w:t>
            </w:r>
          </w:p>
        </w:tc>
        <w:tc>
          <w:tcPr>
            <w:tcW w:w="548"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认识实习</w:t>
            </w:r>
          </w:p>
        </w:tc>
        <w:tc>
          <w:tcPr>
            <w:tcW w:w="547"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社会实践</w:t>
            </w:r>
          </w:p>
        </w:tc>
        <w:tc>
          <w:tcPr>
            <w:tcW w:w="675"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企业技能学习与实践</w:t>
            </w:r>
          </w:p>
        </w:tc>
        <w:tc>
          <w:tcPr>
            <w:tcW w:w="529"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毕业实习</w:t>
            </w:r>
          </w:p>
        </w:tc>
        <w:tc>
          <w:tcPr>
            <w:tcW w:w="525"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联合毕业设计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桂林华润天和药业有限公司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桂林南药股份有限公司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南宁百会药业集团公司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东莞东阳光研究院</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5</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国药控股广西有限公司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广西柳州医药股份有限公司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培力（南宁）药业有限公司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8</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广西百年乐股份有限公司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9</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广西田园生化股份有限公司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bl>
    <w:p>
      <w:pPr>
        <w:adjustRightInd w:val="0"/>
        <w:snapToGrid w:val="0"/>
        <w:spacing w:line="360" w:lineRule="exact"/>
        <w:jc w:val="center"/>
        <w:rPr>
          <w:rFonts w:ascii="Times New Roman" w:hAnsi="Times New Roman"/>
          <w:color w:val="000000" w:themeColor="text1"/>
          <w:kern w:val="0"/>
          <w:szCs w:val="21"/>
          <w14:textFill>
            <w14:solidFill>
              <w14:schemeClr w14:val="tx1"/>
            </w14:solidFill>
          </w14:textFill>
        </w:rPr>
      </w:pPr>
    </w:p>
    <w:p>
      <w:pPr>
        <w:adjustRightInd w:val="0"/>
        <w:snapToGrid w:val="0"/>
        <w:spacing w:before="120" w:beforeLines="50" w:after="120" w:afterLines="50" w:line="288" w:lineRule="auto"/>
        <w:jc w:val="center"/>
        <w:rPr>
          <w:rFonts w:hint="eastAsia" w:ascii="Times New Roman" w:hAnsi="Times New Roman"/>
          <w:b/>
          <w:color w:val="000000" w:themeColor="text1"/>
          <w:kern w:val="0"/>
          <w:sz w:val="24"/>
          <w14:textFill>
            <w14:solidFill>
              <w14:schemeClr w14:val="tx1"/>
            </w14:solidFill>
          </w14:textFill>
        </w:rPr>
      </w:pPr>
    </w:p>
    <w:p>
      <w:pPr>
        <w:adjustRightInd w:val="0"/>
        <w:snapToGrid w:val="0"/>
        <w:spacing w:before="120" w:beforeLines="50" w:after="120" w:afterLines="50" w:line="288"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表11 部分企业兼职教师信息</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91"/>
        <w:gridCol w:w="744"/>
        <w:gridCol w:w="1646"/>
        <w:gridCol w:w="472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471"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姓名</w:t>
            </w:r>
          </w:p>
        </w:tc>
        <w:tc>
          <w:tcPr>
            <w:tcW w:w="393"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性别</w:t>
            </w:r>
          </w:p>
        </w:tc>
        <w:tc>
          <w:tcPr>
            <w:tcW w:w="870"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职称</w:t>
            </w:r>
          </w:p>
        </w:tc>
        <w:tc>
          <w:tcPr>
            <w:tcW w:w="2495"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工作单位</w:t>
            </w:r>
          </w:p>
        </w:tc>
        <w:tc>
          <w:tcPr>
            <w:tcW w:w="398"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任青云</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研究员</w:t>
            </w:r>
          </w:p>
        </w:tc>
        <w:tc>
          <w:tcPr>
            <w:tcW w:w="2495" w:type="pct"/>
            <w:vAlign w:val="center"/>
          </w:tcPr>
          <w:p>
            <w:pPr>
              <w:spacing w:line="2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东莞东阳光研究院</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郭朕</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副研究员</w:t>
            </w:r>
          </w:p>
        </w:tc>
        <w:tc>
          <w:tcPr>
            <w:tcW w:w="2495" w:type="pct"/>
            <w:vAlign w:val="center"/>
          </w:tcPr>
          <w:p>
            <w:pPr>
              <w:spacing w:line="2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东莞东阳光研究院</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卢瑞</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高级工程师</w:t>
            </w:r>
          </w:p>
        </w:tc>
        <w:tc>
          <w:tcPr>
            <w:tcW w:w="2495" w:type="pct"/>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广西田园生化股份有限公司</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莫宇星</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工程师</w:t>
            </w:r>
          </w:p>
        </w:tc>
        <w:tc>
          <w:tcPr>
            <w:tcW w:w="2495" w:type="pct"/>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广西田园生化股份有限公司</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bl>
    <w:p>
      <w:pPr>
        <w:widowControl/>
        <w:spacing w:line="360" w:lineRule="auto"/>
        <w:ind w:left="561" w:leftChars="267"/>
        <w:rPr>
          <w:rFonts w:ascii="Times New Roman" w:hAnsi="Times New Roman" w:cs="宋体"/>
          <w:color w:val="000000" w:themeColor="text1"/>
          <w:kern w:val="0"/>
          <w:sz w:val="24"/>
          <w14:textFill>
            <w14:solidFill>
              <w14:schemeClr w14:val="tx1"/>
            </w14:solidFill>
          </w14:textFill>
        </w:rPr>
      </w:pPr>
    </w:p>
    <w:p>
      <w:pPr>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十一、辅修专业课程计划表</w:t>
      </w:r>
    </w:p>
    <w:p>
      <w:pPr>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（一）学门、学类核心课程（共</w:t>
      </w:r>
      <w:r>
        <w:rPr>
          <w:rFonts w:ascii="宋体" w:hAnsi="宋体" w:cs="宋体"/>
          <w:b/>
          <w:color w:val="000000" w:themeColor="text1"/>
          <w:kern w:val="0"/>
          <w:sz w:val="24"/>
          <w14:textFill>
            <w14:solidFill>
              <w14:schemeClr w14:val="tx1"/>
            </w14:solidFill>
          </w14:textFill>
        </w:rPr>
        <w:t>54</w:t>
      </w:r>
      <w:r>
        <w:rPr>
          <w:rFonts w:hint="eastAsia" w:ascii="宋体" w:hAnsi="宋体"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269"/>
        <w:gridCol w:w="1014"/>
        <w:gridCol w:w="1158"/>
        <w:gridCol w:w="101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高等数学A（上）</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80学时+16学时习题课，第1学期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高等数学A（下）</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80学时+16学时习题课，第2学期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线性代数</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40学时+8学时习题课，第1学期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概率论与数理统计学（理）</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48学时+12学时习题课，第3学期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大学物理I</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96学时，第2学期64学时，4学分，第3学期32学时，2学分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64学时，2学分，第2学期开出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无机化学实验（二）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有机化学实验（二）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分析化学实验（二）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生物化学实验（一）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微生物学实验（一）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物理化学（三）</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物理化学实验（三）</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分子生物学实验（一）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bl>
    <w:p>
      <w:pPr>
        <w:spacing w:line="360" w:lineRule="auto"/>
        <w:rPr>
          <w:rFonts w:ascii="Times New Roman" w:hAnsi="Times New Roman" w:cs="宋体"/>
          <w:color w:val="000000" w:themeColor="text1"/>
          <w:kern w:val="0"/>
          <w:sz w:val="24"/>
          <w14:textFill>
            <w14:solidFill>
              <w14:schemeClr w14:val="tx1"/>
            </w14:solidFill>
          </w14:textFill>
        </w:rPr>
      </w:pPr>
    </w:p>
    <w:p>
      <w:pPr>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（二）专业课（至少需</w:t>
      </w:r>
      <w:r>
        <w:rPr>
          <w:rFonts w:ascii="宋体" w:hAnsi="宋体" w:cs="宋体"/>
          <w:b/>
          <w:color w:val="FF0000"/>
          <w:kern w:val="0"/>
          <w:sz w:val="24"/>
        </w:rPr>
        <w:t>2</w:t>
      </w:r>
      <w:r>
        <w:rPr>
          <w:rFonts w:hint="eastAsia" w:ascii="宋体" w:hAnsi="宋体" w:cs="宋体"/>
          <w:b/>
          <w:color w:val="FF0000"/>
          <w:kern w:val="0"/>
          <w:sz w:val="24"/>
          <w:lang w:val="en-US" w:eastAsia="zh-CN"/>
        </w:rPr>
        <w:t>8</w:t>
      </w:r>
      <w:r>
        <w:rPr>
          <w:rFonts w:hint="eastAsia" w:ascii="宋体" w:hAnsi="宋体" w:cs="宋体"/>
          <w:b/>
          <w:color w:val="000000" w:themeColor="text1"/>
          <w:kern w:val="0"/>
          <w:sz w:val="24"/>
          <w14:textFill>
            <w14:solidFill>
              <w14:schemeClr w14:val="tx1"/>
            </w14:solidFill>
          </w14:textFill>
        </w:rPr>
        <w:t>学分，*为限制性课程）</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2600"/>
        <w:gridCol w:w="1014"/>
        <w:gridCol w:w="1158"/>
        <w:gridCol w:w="101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37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6"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5"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1370095</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药事管理</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1370019</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1370087</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1370015</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1370021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*人体解剖生理学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1</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1370104</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*药学英语</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1370106</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1370107</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1370109</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1370096</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1370097</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细胞生物学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2</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1370099</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组织与胚胎学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3</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1370100</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医学免疫学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4</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医学统计学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1370102</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药用植物学与生药学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1370103</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临床医学概论</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1370105</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药用高分子材料</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1370108</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药物设计学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1370110</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生物药剂学与药物动力学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制药工艺学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1370112</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药物分离技术</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1370113</w:t>
            </w:r>
          </w:p>
        </w:tc>
        <w:tc>
          <w:tcPr>
            <w:tcW w:w="1374" w:type="pct"/>
            <w:vAlign w:val="center"/>
          </w:tcPr>
          <w:p>
            <w:pPr>
              <w:rPr>
                <w:rFonts w:ascii="宋体" w:hAnsi="宋体"/>
                <w:color w:val="0000FF"/>
                <w:szCs w:val="21"/>
              </w:rPr>
            </w:pPr>
            <w:r>
              <w:rPr>
                <w:rFonts w:hint="eastAsia" w:ascii="宋体" w:hAnsi="宋体"/>
                <w:color w:val="0000FF"/>
                <w:szCs w:val="21"/>
              </w:rPr>
              <w:t>药物毒理学</w:t>
            </w:r>
          </w:p>
        </w:tc>
        <w:tc>
          <w:tcPr>
            <w:tcW w:w="536" w:type="pct"/>
            <w:vAlign w:val="center"/>
          </w:tcPr>
          <w:p>
            <w:pPr>
              <w:jc w:val="center"/>
              <w:rPr>
                <w:rFonts w:ascii="宋体" w:hAnsi="宋体"/>
                <w:color w:val="0000FF"/>
                <w:szCs w:val="21"/>
              </w:rPr>
            </w:pPr>
            <w:r>
              <w:rPr>
                <w:rFonts w:ascii="宋体" w:hAnsi="宋体"/>
                <w:color w:val="0000FF"/>
                <w:szCs w:val="21"/>
              </w:rPr>
              <w:t>1</w:t>
            </w:r>
          </w:p>
        </w:tc>
        <w:tc>
          <w:tcPr>
            <w:tcW w:w="612" w:type="pct"/>
            <w:vAlign w:val="center"/>
          </w:tcPr>
          <w:p>
            <w:pPr>
              <w:jc w:val="center"/>
              <w:rPr>
                <w:rFonts w:ascii="宋体" w:hAnsi="宋体"/>
                <w:color w:val="0000FF"/>
                <w:szCs w:val="21"/>
              </w:rPr>
            </w:pPr>
            <w:r>
              <w:rPr>
                <w:rFonts w:ascii="宋体" w:hAnsi="宋体"/>
                <w:color w:val="0000FF"/>
                <w:szCs w:val="21"/>
              </w:rPr>
              <w:t>1</w:t>
            </w:r>
          </w:p>
        </w:tc>
        <w:tc>
          <w:tcPr>
            <w:tcW w:w="535" w:type="pct"/>
            <w:vAlign w:val="center"/>
          </w:tcPr>
          <w:p>
            <w:pPr>
              <w:widowControl/>
              <w:spacing w:line="360" w:lineRule="auto"/>
              <w:jc w:val="center"/>
              <w:rPr>
                <w:rFonts w:hint="eastAsia" w:ascii="宋体" w:hAnsi="宋体" w:eastAsia="宋体" w:cs="宋体"/>
                <w:color w:val="0000FF"/>
                <w:kern w:val="0"/>
                <w:szCs w:val="21"/>
                <w:lang w:val="en-US" w:eastAsia="zh-CN"/>
              </w:rPr>
            </w:pPr>
            <w:r>
              <w:rPr>
                <w:rFonts w:hint="eastAsia" w:ascii="宋体" w:hAnsi="宋体" w:cs="宋体"/>
                <w:color w:val="0000FF"/>
                <w:kern w:val="0"/>
                <w:szCs w:val="21"/>
                <w:lang w:val="en-US" w:eastAsia="zh-CN"/>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2538" w:type="dxa"/>
            <w:vAlign w:val="center"/>
          </w:tcPr>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FF0000"/>
                <w:kern w:val="0"/>
                <w:sz w:val="21"/>
                <w:szCs w:val="21"/>
                <w:u w:val="none"/>
                <w:lang w:val="en-US" w:eastAsia="zh-CN" w:bidi="ar"/>
              </w:rPr>
              <w:t>生物技术药物</w:t>
            </w:r>
          </w:p>
        </w:tc>
        <w:tc>
          <w:tcPr>
            <w:tcW w:w="9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lang w:val="en-US" w:eastAsia="zh-CN"/>
              </w:rPr>
              <w:t>1</w:t>
            </w:r>
          </w:p>
        </w:tc>
        <w:tc>
          <w:tcPr>
            <w:tcW w:w="113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lang w:val="en-US" w:eastAsia="zh-CN"/>
              </w:rPr>
              <w:t>1</w:t>
            </w:r>
          </w:p>
        </w:tc>
        <w:tc>
          <w:tcPr>
            <w:tcW w:w="988" w:type="dxa"/>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color w:val="FF0000"/>
                <w:kern w:val="0"/>
                <w:sz w:val="21"/>
                <w:szCs w:val="21"/>
                <w:lang w:val="en-US" w:eastAsia="zh-CN"/>
              </w:rPr>
              <w:t>4</w:t>
            </w:r>
          </w:p>
        </w:tc>
        <w:tc>
          <w:tcPr>
            <w:tcW w:w="2176"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lang w:val="en-US" w:eastAsia="zh-CN"/>
              </w:rPr>
              <w:t>16</w:t>
            </w:r>
            <w:r>
              <w:rPr>
                <w:rFonts w:hint="eastAsia" w:ascii="宋体" w:hAnsi="宋体" w:eastAsia="宋体" w:cs="宋体"/>
                <w:color w:val="FF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2538" w:type="dxa"/>
            <w:vAlign w:val="center"/>
          </w:tcPr>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FF0000"/>
                <w:kern w:val="0"/>
                <w:sz w:val="21"/>
                <w:szCs w:val="21"/>
                <w:u w:val="none"/>
                <w:lang w:val="en-US" w:eastAsia="zh-CN" w:bidi="ar"/>
              </w:rPr>
              <w:t>海洋药物学</w:t>
            </w:r>
          </w:p>
        </w:tc>
        <w:tc>
          <w:tcPr>
            <w:tcW w:w="9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113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988" w:type="dxa"/>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color w:val="FF0000"/>
                <w:kern w:val="0"/>
                <w:sz w:val="21"/>
                <w:szCs w:val="21"/>
                <w:lang w:val="en-US" w:eastAsia="zh-CN"/>
              </w:rPr>
              <w:t>5</w:t>
            </w:r>
          </w:p>
        </w:tc>
        <w:tc>
          <w:tcPr>
            <w:tcW w:w="2176"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2538" w:type="dxa"/>
            <w:vAlign w:val="center"/>
          </w:tcPr>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FF0000"/>
                <w:kern w:val="0"/>
                <w:sz w:val="21"/>
                <w:szCs w:val="21"/>
                <w:u w:val="none"/>
                <w:lang w:val="en-US" w:eastAsia="zh-CN" w:bidi="ar"/>
              </w:rPr>
              <w:t>基因工程药物</w:t>
            </w:r>
          </w:p>
        </w:tc>
        <w:tc>
          <w:tcPr>
            <w:tcW w:w="9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113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988" w:type="dxa"/>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color w:val="FF0000"/>
                <w:kern w:val="0"/>
                <w:sz w:val="21"/>
                <w:szCs w:val="21"/>
              </w:rPr>
              <w:t>6</w:t>
            </w:r>
          </w:p>
        </w:tc>
        <w:tc>
          <w:tcPr>
            <w:tcW w:w="2176"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1370134</w:t>
            </w:r>
          </w:p>
        </w:tc>
        <w:tc>
          <w:tcPr>
            <w:tcW w:w="137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（研）高等药物化学（Ⅱ）</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1370135</w:t>
            </w:r>
          </w:p>
        </w:tc>
        <w:tc>
          <w:tcPr>
            <w:tcW w:w="137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（研）药物毒理学</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1370136</w:t>
            </w:r>
          </w:p>
        </w:tc>
        <w:tc>
          <w:tcPr>
            <w:tcW w:w="137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（研）医药专利与知识产权保护</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16学时</w:t>
            </w:r>
          </w:p>
        </w:tc>
      </w:tr>
    </w:tbl>
    <w:p>
      <w:pPr>
        <w:spacing w:line="360" w:lineRule="auto"/>
        <w:rPr>
          <w:rFonts w:ascii="Times New Roman" w:hAnsi="Times New Roman" w:cs="Arial Unicode MS"/>
          <w:color w:val="000000" w:themeColor="text1"/>
          <w:kern w:val="0"/>
          <w:sz w:val="24"/>
          <w14:textFill>
            <w14:solidFill>
              <w14:schemeClr w14:val="tx1"/>
            </w14:solidFill>
          </w14:textFill>
        </w:rPr>
      </w:pPr>
    </w:p>
    <w:p>
      <w:pPr>
        <w:spacing w:before="120" w:beforeLines="50" w:after="120" w:afterLines="50" w:line="288" w:lineRule="auto"/>
        <w:rPr>
          <w:rFonts w:ascii="宋体" w:hAnsi="宋体" w:cs="Arial Unicode MS"/>
          <w:b/>
          <w:color w:val="000000" w:themeColor="text1"/>
          <w:kern w:val="0"/>
          <w:sz w:val="24"/>
          <w14:textFill>
            <w14:solidFill>
              <w14:schemeClr w14:val="tx1"/>
            </w14:solidFill>
          </w14:textFill>
        </w:rPr>
      </w:pPr>
      <w:r>
        <w:rPr>
          <w:rFonts w:hint="eastAsia" w:ascii="宋体" w:hAnsi="宋体" w:cs="Arial Unicode MS"/>
          <w:b/>
          <w:color w:val="000000" w:themeColor="text1"/>
          <w:kern w:val="0"/>
          <w:sz w:val="24"/>
          <w14:textFill>
            <w14:solidFill>
              <w14:schemeClr w14:val="tx1"/>
            </w14:solidFill>
          </w14:textFill>
        </w:rPr>
        <w:t>（三）实践环节（</w:t>
      </w:r>
      <w:r>
        <w:rPr>
          <w:rFonts w:ascii="宋体" w:hAnsi="宋体" w:cs="Arial Unicode MS"/>
          <w:b/>
          <w:color w:val="000000" w:themeColor="text1"/>
          <w:kern w:val="0"/>
          <w:sz w:val="24"/>
          <w14:textFill>
            <w14:solidFill>
              <w14:schemeClr w14:val="tx1"/>
            </w14:solidFill>
          </w14:textFill>
        </w:rPr>
        <w:t>30</w:t>
      </w:r>
      <w:r>
        <w:rPr>
          <w:rFonts w:hint="eastAsia" w:ascii="宋体" w:hAnsi="宋体" w:cs="Arial Unicode MS"/>
          <w:b/>
          <w:color w:val="000000" w:themeColor="text1"/>
          <w:kern w:val="0"/>
          <w:sz w:val="24"/>
          <w14:textFill>
            <w14:solidFill>
              <w14:schemeClr w14:val="tx1"/>
            </w14:solidFill>
          </w14:textFill>
        </w:rPr>
        <w:t>.5学分）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415"/>
        <w:gridCol w:w="1012"/>
        <w:gridCol w:w="1014"/>
        <w:gridCol w:w="101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7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76"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金工实习</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178"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1370121</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1370122</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1370123</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1370124</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1370126</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1370127</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1370128</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1370129</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药物分子设计实验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1370130</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认知实习</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1370131</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药学专业实习</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1370132</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毕业设计（论文）</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1370133</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8</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学时，实施全程导师制开展科研、竞赛等训练活动，根据学生成果于第</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学期给予学分</w:t>
            </w:r>
          </w:p>
        </w:tc>
      </w:tr>
    </w:tbl>
    <w:p>
      <w:pPr>
        <w:spacing w:line="360" w:lineRule="auto"/>
        <w:rPr>
          <w:rFonts w:ascii="Times New Roman" w:hAnsi="Times New Roman" w:cs="Arial Unicode MS"/>
          <w:color w:val="000000" w:themeColor="text1"/>
          <w:kern w:val="0"/>
          <w:sz w:val="24"/>
          <w14:textFill>
            <w14:solidFill>
              <w14:schemeClr w14:val="tx1"/>
            </w14:solidFill>
          </w14:textFill>
        </w:rPr>
      </w:pPr>
    </w:p>
    <w:p>
      <w:pPr>
        <w:widowControl/>
        <w:spacing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十二、课程责任教师一览表</w:t>
      </w: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0"/>
        <w:gridCol w:w="988"/>
        <w:gridCol w:w="1166"/>
        <w:gridCol w:w="2087"/>
        <w:gridCol w:w="2327"/>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4" w:type="pct"/>
            <w:vAlign w:val="center"/>
          </w:tcPr>
          <w:p>
            <w:pPr>
              <w:spacing w:line="3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序号</w:t>
            </w:r>
          </w:p>
        </w:tc>
        <w:tc>
          <w:tcPr>
            <w:tcW w:w="522" w:type="pct"/>
            <w:vAlign w:val="center"/>
          </w:tcPr>
          <w:p>
            <w:pPr>
              <w:spacing w:line="3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姓名</w:t>
            </w:r>
          </w:p>
        </w:tc>
        <w:tc>
          <w:tcPr>
            <w:tcW w:w="616"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职称</w:t>
            </w:r>
          </w:p>
        </w:tc>
        <w:tc>
          <w:tcPr>
            <w:tcW w:w="1102"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学历学位</w:t>
            </w:r>
          </w:p>
        </w:tc>
        <w:tc>
          <w:tcPr>
            <w:tcW w:w="1229"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专业特长</w:t>
            </w:r>
          </w:p>
        </w:tc>
        <w:tc>
          <w:tcPr>
            <w:tcW w:w="1174"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课程（专业核心、专业选修、通识选修）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齐忠权</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瑞典隆德大学、移植免疫、博士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器官移植及免疫细胞信号传导</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药理学、组织与胚胎学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梁健</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湖南中医药大学、中医内科、博士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中西医结合临床</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w:t>
            </w:r>
          </w:p>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中医学概论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王立升</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沈阳药科大学、药物化学、专业博士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抗肿瘤药物的设计合成及筛选</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药物化学、药物合成反应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4"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杨克迪</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江苏大学、农产品加工及贮藏工程、博士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药物分离工程、天然药物化学成分研究</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天然药物化学、色谱与波谱分析、药物分离工程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王坚毅</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南京大学、化学、博士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肝癌探针、肝靶向抗肿瘤化合物的设计合成、化学生物学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药物化学、药物合成反应、药物设计学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陈海燕</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中山大学、有机化学、博士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微生物天然药物化学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天然药物化学、色谱与波谱分析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杨华</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中国科学院成都有机化学研究所、有机化学、博士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药用高分子材料</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r>
              <w:rPr>
                <w:rFonts w:ascii="宋体" w:hAnsi="宋体"/>
                <w:color w:val="000000" w:themeColor="text1"/>
                <w:kern w:val="0"/>
                <w:szCs w:val="21"/>
                <w14:textFill>
                  <w14:solidFill>
                    <w14:schemeClr w14:val="tx1"/>
                  </w14:solidFill>
                </w14:textFill>
              </w:rPr>
              <w:t>药物合成反应、</w:t>
            </w:r>
            <w:r>
              <w:rPr>
                <w:rFonts w:ascii="宋体" w:hAnsi="宋体"/>
                <w:color w:val="000000" w:themeColor="text1"/>
                <w:szCs w:val="21"/>
                <w14:textFill>
                  <w14:solidFill>
                    <w14:schemeClr w14:val="tx1"/>
                  </w14:solidFill>
                </w14:textFill>
              </w:rPr>
              <w:t>药用高分子材料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刘旭</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上海大学、材料科学、博士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w:t>
            </w:r>
          </w:p>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化学信息学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制药工艺学、药物设计学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颜健华</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副研究员</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广西大学、兽医学、博士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分子免疫学及病毒学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生物化学、</w:t>
            </w:r>
            <w:r>
              <w:rPr>
                <w:rFonts w:ascii="宋体" w:hAnsi="宋体"/>
                <w:color w:val="000000" w:themeColor="text1"/>
                <w:kern w:val="0"/>
                <w:szCs w:val="21"/>
                <w14:textFill>
                  <w14:solidFill>
                    <w14:schemeClr w14:val="tx1"/>
                  </w14:solidFill>
                </w14:textFill>
              </w:rPr>
              <w:t>生物制药概论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0</w:t>
            </w:r>
          </w:p>
        </w:tc>
        <w:tc>
          <w:tcPr>
            <w:tcW w:w="52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魏鹏程</w:t>
            </w:r>
          </w:p>
        </w:tc>
        <w:tc>
          <w:tcPr>
            <w:tcW w:w="616"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副教授</w:t>
            </w:r>
          </w:p>
        </w:tc>
        <w:tc>
          <w:tcPr>
            <w:tcW w:w="110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武汉大学、细胞生物学、博士</w:t>
            </w:r>
          </w:p>
        </w:tc>
        <w:tc>
          <w:tcPr>
            <w:tcW w:w="1229"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免疫学、细胞生物学</w:t>
            </w:r>
          </w:p>
        </w:tc>
        <w:tc>
          <w:tcPr>
            <w:tcW w:w="1174"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药物毒理学、生理学、免疫学、细胞生物学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1</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李献</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工程师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广西大学、微生物学、硕士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微生物学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2</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葛利</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高级实验师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广西大学、化工工艺、硕士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色谱和</w:t>
            </w:r>
            <w:r>
              <w:rPr>
                <w:rFonts w:ascii="宋体" w:hAnsi="宋体"/>
                <w:color w:val="000000" w:themeColor="text1"/>
                <w:szCs w:val="21"/>
                <w14:textFill>
                  <w14:solidFill>
                    <w14:schemeClr w14:val="tx1"/>
                  </w14:solidFill>
                </w14:textFill>
              </w:rPr>
              <w:t>波谱分析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吴黎川</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博士后</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中国科学院大学、细胞生物学、博士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环境毒理与癌症发病机理及抗肿瘤药物作用机理</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细胞生物学、药学英语</w:t>
            </w:r>
            <w:r>
              <w:rPr>
                <w:rFonts w:hint="eastAsia" w:ascii="宋体" w:hAnsi="宋体"/>
                <w:color w:val="000000" w:themeColor="text1"/>
                <w:szCs w:val="21"/>
                <w14:textFill>
                  <w14:solidFill>
                    <w14:schemeClr w14:val="tx1"/>
                  </w14:solidFill>
                </w14:textFill>
              </w:rPr>
              <w:t>、药学基础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4</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黄爱民</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主管药师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广西医科大学、药理学、硕士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药物分析、</w:t>
            </w:r>
            <w:r>
              <w:rPr>
                <w:rFonts w:ascii="宋体" w:hAnsi="宋体"/>
                <w:color w:val="000000" w:themeColor="text1"/>
                <w:kern w:val="0"/>
                <w:szCs w:val="21"/>
                <w14:textFill>
                  <w14:solidFill>
                    <w14:schemeClr w14:val="tx1"/>
                  </w14:solidFill>
                </w14:textFill>
              </w:rPr>
              <w:t>药学基础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5</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袁明清</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助理研究员</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四川大学、药剂学、博士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r>
              <w:rPr>
                <w:rFonts w:ascii="宋体" w:hAnsi="宋体"/>
                <w:color w:val="000000" w:themeColor="text1"/>
                <w:kern w:val="0"/>
                <w:szCs w:val="21"/>
                <w14:textFill>
                  <w14:solidFill>
                    <w14:schemeClr w14:val="tx1"/>
                  </w14:solidFill>
                </w14:textFill>
              </w:rPr>
              <w:t>生物药剂学与药物动力学</w:t>
            </w:r>
            <w:r>
              <w:rPr>
                <w:rFonts w:hint="eastAsia" w:ascii="宋体" w:hAnsi="宋体"/>
                <w:color w:val="000000" w:themeColor="text1"/>
                <w:kern w:val="0"/>
                <w:szCs w:val="21"/>
                <w14:textFill>
                  <w14:solidFill>
                    <w14:schemeClr w14:val="tx1"/>
                  </w14:solidFill>
                </w14:textFill>
              </w:rPr>
              <w:t>、药学基础、</w:t>
            </w:r>
            <w:r>
              <w:rPr>
                <w:rFonts w:hint="eastAsia" w:ascii="宋体" w:hAnsi="宋体"/>
                <w:color w:val="000000" w:themeColor="text1"/>
                <w:szCs w:val="21"/>
                <w14:textFill>
                  <w14:solidFill>
                    <w14:schemeClr w14:val="tx1"/>
                  </w14:solidFill>
                </w14:textFill>
              </w:rPr>
              <w:t>仪器分析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6</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陆翠霞</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讲师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华南师范大学、生物物理学、博士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细胞生物学、药事管理与法规、微生物学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7</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刘玉</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厦门大学、生理学、博士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配子生物学，生殖毒理学</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w:t>
            </w:r>
            <w:r>
              <w:rPr>
                <w:rFonts w:hint="eastAsia" w:ascii="宋体" w:hAnsi="宋体"/>
                <w:color w:val="000000" w:themeColor="text1"/>
                <w:szCs w:val="21"/>
                <w14:textFill>
                  <w14:solidFill>
                    <w14:schemeClr w14:val="tx1"/>
                  </w14:solidFill>
                </w14:textFill>
              </w:rPr>
              <w:t>仪器分析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18</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李一向</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陕西师范大学、细胞生物学、博士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肿瘤声/光动力治疗</w:t>
            </w:r>
          </w:p>
        </w:tc>
        <w:tc>
          <w:tcPr>
            <w:tcW w:w="1174"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分子生物学、病理生理学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19</w:t>
            </w:r>
          </w:p>
        </w:tc>
        <w:tc>
          <w:tcPr>
            <w:tcW w:w="52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于津鹏</w:t>
            </w:r>
          </w:p>
        </w:tc>
        <w:tc>
          <w:tcPr>
            <w:tcW w:w="616"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海南大学、生物化学与分子生物学、博士</w:t>
            </w:r>
          </w:p>
        </w:tc>
        <w:tc>
          <w:tcPr>
            <w:tcW w:w="1229"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生物化学、分子生物学</w:t>
            </w:r>
          </w:p>
        </w:tc>
        <w:tc>
          <w:tcPr>
            <w:tcW w:w="1174"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分子生物学、细胞生物学、生物化学、生物技术药物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20</w:t>
            </w:r>
          </w:p>
        </w:tc>
        <w:tc>
          <w:tcPr>
            <w:tcW w:w="52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于飞</w:t>
            </w:r>
          </w:p>
        </w:tc>
        <w:tc>
          <w:tcPr>
            <w:tcW w:w="616"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厦门大学、生物工程、博士</w:t>
            </w:r>
          </w:p>
        </w:tc>
        <w:tc>
          <w:tcPr>
            <w:tcW w:w="1229"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纳米医学、纳米药物、药物制剂</w:t>
            </w:r>
          </w:p>
        </w:tc>
        <w:tc>
          <w:tcPr>
            <w:tcW w:w="1174"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药剂学、生物药剂学与药物动力学、纳米医学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670" w:type="dxa"/>
            <w:vAlign w:val="center"/>
          </w:tcPr>
          <w:p>
            <w:pPr>
              <w:spacing w:line="300" w:lineRule="exact"/>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21</w:t>
            </w:r>
          </w:p>
        </w:tc>
        <w:tc>
          <w:tcPr>
            <w:tcW w:w="52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张淇淞</w:t>
            </w:r>
          </w:p>
        </w:tc>
        <w:tc>
          <w:tcPr>
            <w:tcW w:w="616"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广州中医药大学、中药学、博士</w:t>
            </w:r>
          </w:p>
        </w:tc>
        <w:tc>
          <w:tcPr>
            <w:tcW w:w="1229"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质谱分析化学</w:t>
            </w:r>
          </w:p>
        </w:tc>
        <w:tc>
          <w:tcPr>
            <w:tcW w:w="1174"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药物分析、生物药剂学与药物动力学、药剂学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4" w:type="pct"/>
            <w:vAlign w:val="center"/>
          </w:tcPr>
          <w:p>
            <w:pPr>
              <w:spacing w:line="300" w:lineRule="exact"/>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s="Times New Roman"/>
                <w:color w:val="000000" w:themeColor="text1"/>
                <w:kern w:val="2"/>
                <w:sz w:val="21"/>
                <w:szCs w:val="21"/>
                <w:lang w:val="en-US" w:eastAsia="zh-CN" w:bidi="ar-SA"/>
                <w14:textFill>
                  <w14:solidFill>
                    <w14:schemeClr w14:val="tx1"/>
                  </w14:solidFill>
                </w14:textFill>
              </w:rPr>
              <w:t>22</w:t>
            </w:r>
          </w:p>
        </w:tc>
        <w:tc>
          <w:tcPr>
            <w:tcW w:w="52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何榕晏</w:t>
            </w:r>
          </w:p>
        </w:tc>
        <w:tc>
          <w:tcPr>
            <w:tcW w:w="616"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2"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西安交通大学、博士</w:t>
            </w:r>
          </w:p>
        </w:tc>
        <w:tc>
          <w:tcPr>
            <w:tcW w:w="1229"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生物医学工程</w:t>
            </w:r>
          </w:p>
        </w:tc>
        <w:tc>
          <w:tcPr>
            <w:tcW w:w="1174" w:type="pct"/>
            <w:vAlign w:val="center"/>
          </w:tcPr>
          <w:p>
            <w:pPr>
              <w:spacing w:line="300" w:lineRule="exact"/>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ascii="宋体" w:hAnsi="宋体"/>
                <w:color w:val="000000" w:themeColor="text1"/>
                <w:szCs w:val="21"/>
                <w14:textFill>
                  <w14:solidFill>
                    <w14:schemeClr w14:val="tx1"/>
                  </w14:solidFill>
                </w14:textFill>
              </w:rPr>
              <w:t>细胞生物学</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十三、专业责任教授（1名）</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258"/>
        <w:gridCol w:w="1417"/>
        <w:gridCol w:w="1417"/>
        <w:gridCol w:w="1822"/>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665"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姓名</w:t>
            </w:r>
          </w:p>
        </w:tc>
        <w:tc>
          <w:tcPr>
            <w:tcW w:w="74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职称</w:t>
            </w:r>
          </w:p>
        </w:tc>
        <w:tc>
          <w:tcPr>
            <w:tcW w:w="74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学历学位</w:t>
            </w:r>
          </w:p>
        </w:tc>
        <w:tc>
          <w:tcPr>
            <w:tcW w:w="963"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专业特长</w:t>
            </w:r>
          </w:p>
        </w:tc>
        <w:tc>
          <w:tcPr>
            <w:tcW w:w="1395"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承担授课课程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65"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杨华</w:t>
            </w:r>
          </w:p>
        </w:tc>
        <w:tc>
          <w:tcPr>
            <w:tcW w:w="74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74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博士</w:t>
            </w:r>
          </w:p>
        </w:tc>
        <w:tc>
          <w:tcPr>
            <w:tcW w:w="963"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药用高分子材料</w:t>
            </w:r>
          </w:p>
        </w:tc>
        <w:tc>
          <w:tcPr>
            <w:tcW w:w="1395"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r>
              <w:rPr>
                <w:rFonts w:ascii="宋体" w:hAnsi="宋体"/>
                <w:color w:val="000000" w:themeColor="text1"/>
                <w:szCs w:val="21"/>
                <w14:textFill>
                  <w14:solidFill>
                    <w14:schemeClr w14:val="tx1"/>
                  </w14:solidFill>
                </w14:textFill>
              </w:rPr>
              <w:t>药用高分子材料</w:t>
            </w:r>
          </w:p>
        </w:tc>
      </w:tr>
    </w:tbl>
    <w:p>
      <w:pPr>
        <w:spacing w:line="360" w:lineRule="auto"/>
        <w:ind w:firstLine="480" w:firstLineChars="200"/>
        <w:rPr>
          <w:rFonts w:ascii="Times New Roman" w:hAnsi="Times New Roman" w:cs="Arial Unicode MS"/>
          <w:color w:val="000000" w:themeColor="text1"/>
          <w:kern w:val="0"/>
          <w:position w:val="2"/>
          <w:sz w:val="24"/>
          <w14:textFill>
            <w14:solidFill>
              <w14:schemeClr w14:val="tx1"/>
            </w14:solidFill>
          </w14:textFill>
        </w:rPr>
      </w:pPr>
    </w:p>
    <w:p>
      <w:pPr>
        <w:widowControl/>
        <w:ind w:firstLine="3920" w:firstLineChars="14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专业负责人签字：</w:t>
      </w:r>
    </w:p>
    <w:p>
      <w:pPr>
        <w:widowControl/>
        <w:ind w:firstLine="3920" w:firstLineChars="1400"/>
        <w:rPr>
          <w:rFonts w:ascii="Times New Roman" w:hAnsi="Times New Roman"/>
          <w:color w:val="000000" w:themeColor="text1"/>
          <w:sz w:val="28"/>
          <w:szCs w:val="28"/>
          <w14:textFill>
            <w14:solidFill>
              <w14:schemeClr w14:val="tx1"/>
            </w14:solidFill>
          </w14:textFill>
        </w:rPr>
      </w:pPr>
    </w:p>
    <w:p>
      <w:pPr>
        <w:widowControl/>
        <w:ind w:firstLine="2800" w:firstLineChars="10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学院学术委员会主任签字：</w:t>
      </w:r>
    </w:p>
    <w:p>
      <w:pPr>
        <w:widowControl/>
        <w:ind w:firstLine="2800" w:firstLineChars="1000"/>
        <w:rPr>
          <w:rFonts w:ascii="Times New Roman" w:hAnsi="Times New Roman"/>
          <w:color w:val="000000" w:themeColor="text1"/>
          <w:sz w:val="28"/>
          <w:szCs w:val="28"/>
          <w14:textFill>
            <w14:solidFill>
              <w14:schemeClr w14:val="tx1"/>
            </w14:solidFill>
          </w14:textFill>
        </w:rPr>
      </w:pPr>
    </w:p>
    <w:p>
      <w:pPr>
        <w:widowControl/>
        <w:ind w:firstLine="4200" w:firstLineChars="15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教学院长签字：</w:t>
      </w:r>
    </w:p>
    <w:p>
      <w:pPr>
        <w:widowControl/>
        <w:ind w:firstLine="4200" w:firstLineChars="1500"/>
        <w:rPr>
          <w:rFonts w:ascii="Times New Roman" w:hAnsi="Times New Roman"/>
          <w:color w:val="000000" w:themeColor="text1"/>
          <w:sz w:val="28"/>
          <w:szCs w:val="28"/>
          <w14:textFill>
            <w14:solidFill>
              <w14:schemeClr w14:val="tx1"/>
            </w14:solidFill>
          </w14:textFill>
        </w:rPr>
      </w:pPr>
    </w:p>
    <w:p>
      <w:pPr>
        <w:widowControl/>
        <w:ind w:firstLine="4480" w:firstLineChars="16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学院（盖章）：</w:t>
      </w:r>
    </w:p>
    <w:sectPr>
      <w:footerReference r:id="rId3" w:type="default"/>
      <w:pgSz w:w="11910" w:h="16840"/>
      <w:pgMar w:top="1503" w:right="1134" w:bottom="1378" w:left="1531"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070540"/>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25</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B190"/>
    <w:multiLevelType w:val="singleLevel"/>
    <w:tmpl w:val="5984B19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yOWIzMzFlMDMwNzZjOGM1YWY0YTM3MzI0N2M0ZjEifQ=="/>
  </w:docVars>
  <w:rsids>
    <w:rsidRoot w:val="00DE7A58"/>
    <w:rsid w:val="00001C05"/>
    <w:rsid w:val="0000518D"/>
    <w:rsid w:val="00006279"/>
    <w:rsid w:val="00006AB4"/>
    <w:rsid w:val="000202C5"/>
    <w:rsid w:val="00021903"/>
    <w:rsid w:val="00025A54"/>
    <w:rsid w:val="00035BA5"/>
    <w:rsid w:val="00041184"/>
    <w:rsid w:val="000437FD"/>
    <w:rsid w:val="00045E7A"/>
    <w:rsid w:val="00052A49"/>
    <w:rsid w:val="000537F5"/>
    <w:rsid w:val="00053BB4"/>
    <w:rsid w:val="00054586"/>
    <w:rsid w:val="00062B00"/>
    <w:rsid w:val="000703B2"/>
    <w:rsid w:val="00083EA2"/>
    <w:rsid w:val="000844B3"/>
    <w:rsid w:val="00090DE3"/>
    <w:rsid w:val="00097637"/>
    <w:rsid w:val="000A0206"/>
    <w:rsid w:val="000A1A24"/>
    <w:rsid w:val="000A4397"/>
    <w:rsid w:val="000B15CC"/>
    <w:rsid w:val="000B6548"/>
    <w:rsid w:val="000B7576"/>
    <w:rsid w:val="000C3D43"/>
    <w:rsid w:val="000C790B"/>
    <w:rsid w:val="000D179B"/>
    <w:rsid w:val="000D1B95"/>
    <w:rsid w:val="000D7EC4"/>
    <w:rsid w:val="000E2600"/>
    <w:rsid w:val="000E4A4E"/>
    <w:rsid w:val="000E675C"/>
    <w:rsid w:val="000F0596"/>
    <w:rsid w:val="000F0957"/>
    <w:rsid w:val="000F0993"/>
    <w:rsid w:val="000F7C35"/>
    <w:rsid w:val="00100EC3"/>
    <w:rsid w:val="00123383"/>
    <w:rsid w:val="00125497"/>
    <w:rsid w:val="00127BF7"/>
    <w:rsid w:val="00127D9E"/>
    <w:rsid w:val="001346C3"/>
    <w:rsid w:val="00137D85"/>
    <w:rsid w:val="00140744"/>
    <w:rsid w:val="001420A5"/>
    <w:rsid w:val="001434F9"/>
    <w:rsid w:val="00144D9F"/>
    <w:rsid w:val="001473FF"/>
    <w:rsid w:val="001546F5"/>
    <w:rsid w:val="001557AC"/>
    <w:rsid w:val="001730D5"/>
    <w:rsid w:val="001763EB"/>
    <w:rsid w:val="00182A0A"/>
    <w:rsid w:val="00183B06"/>
    <w:rsid w:val="001845D2"/>
    <w:rsid w:val="0018604D"/>
    <w:rsid w:val="00196E64"/>
    <w:rsid w:val="001A422F"/>
    <w:rsid w:val="001B45D3"/>
    <w:rsid w:val="001B6177"/>
    <w:rsid w:val="001B67C8"/>
    <w:rsid w:val="001C3957"/>
    <w:rsid w:val="001C48C8"/>
    <w:rsid w:val="001D3ADB"/>
    <w:rsid w:val="001D6C8B"/>
    <w:rsid w:val="001E00BC"/>
    <w:rsid w:val="001F43BB"/>
    <w:rsid w:val="00205C1A"/>
    <w:rsid w:val="002118F3"/>
    <w:rsid w:val="0021667A"/>
    <w:rsid w:val="00223A04"/>
    <w:rsid w:val="00234EDB"/>
    <w:rsid w:val="00242C7E"/>
    <w:rsid w:val="00244506"/>
    <w:rsid w:val="0025714B"/>
    <w:rsid w:val="00260D77"/>
    <w:rsid w:val="00265B4A"/>
    <w:rsid w:val="00270D52"/>
    <w:rsid w:val="00291F62"/>
    <w:rsid w:val="00295F99"/>
    <w:rsid w:val="002B0123"/>
    <w:rsid w:val="002B7497"/>
    <w:rsid w:val="002C1317"/>
    <w:rsid w:val="002C538A"/>
    <w:rsid w:val="002C5821"/>
    <w:rsid w:val="002D1D8D"/>
    <w:rsid w:val="002D1F48"/>
    <w:rsid w:val="002D29A0"/>
    <w:rsid w:val="002D4414"/>
    <w:rsid w:val="002D5ED1"/>
    <w:rsid w:val="002E44D7"/>
    <w:rsid w:val="002E76B5"/>
    <w:rsid w:val="002F33D4"/>
    <w:rsid w:val="0030145B"/>
    <w:rsid w:val="003045CB"/>
    <w:rsid w:val="0030731E"/>
    <w:rsid w:val="00310BF2"/>
    <w:rsid w:val="003116C4"/>
    <w:rsid w:val="00322A2B"/>
    <w:rsid w:val="00326C83"/>
    <w:rsid w:val="00330277"/>
    <w:rsid w:val="00334FEC"/>
    <w:rsid w:val="0033727D"/>
    <w:rsid w:val="003608DF"/>
    <w:rsid w:val="003612B5"/>
    <w:rsid w:val="00361F8D"/>
    <w:rsid w:val="0036471C"/>
    <w:rsid w:val="003812AF"/>
    <w:rsid w:val="0038415C"/>
    <w:rsid w:val="003A1570"/>
    <w:rsid w:val="003B2717"/>
    <w:rsid w:val="003B5D32"/>
    <w:rsid w:val="003B5E32"/>
    <w:rsid w:val="003B6B9D"/>
    <w:rsid w:val="003C3A70"/>
    <w:rsid w:val="003C6BF0"/>
    <w:rsid w:val="003E02B3"/>
    <w:rsid w:val="003E14ED"/>
    <w:rsid w:val="003F22B5"/>
    <w:rsid w:val="003F6889"/>
    <w:rsid w:val="004002DE"/>
    <w:rsid w:val="00404B60"/>
    <w:rsid w:val="00410D02"/>
    <w:rsid w:val="0041587A"/>
    <w:rsid w:val="004257FA"/>
    <w:rsid w:val="00431BDF"/>
    <w:rsid w:val="004502E6"/>
    <w:rsid w:val="00451F18"/>
    <w:rsid w:val="004565EA"/>
    <w:rsid w:val="00462561"/>
    <w:rsid w:val="00467D4D"/>
    <w:rsid w:val="00470700"/>
    <w:rsid w:val="00474B6B"/>
    <w:rsid w:val="00476746"/>
    <w:rsid w:val="0048162B"/>
    <w:rsid w:val="004A2246"/>
    <w:rsid w:val="004A3345"/>
    <w:rsid w:val="004A6F2C"/>
    <w:rsid w:val="004B2203"/>
    <w:rsid w:val="004B3DFD"/>
    <w:rsid w:val="004B7E48"/>
    <w:rsid w:val="004C2813"/>
    <w:rsid w:val="004C289A"/>
    <w:rsid w:val="004D35B3"/>
    <w:rsid w:val="004D64A9"/>
    <w:rsid w:val="00506679"/>
    <w:rsid w:val="00521DB2"/>
    <w:rsid w:val="00527B3E"/>
    <w:rsid w:val="00532134"/>
    <w:rsid w:val="00533EF9"/>
    <w:rsid w:val="00534B21"/>
    <w:rsid w:val="005508F3"/>
    <w:rsid w:val="00552E01"/>
    <w:rsid w:val="00557096"/>
    <w:rsid w:val="00562267"/>
    <w:rsid w:val="00565DEC"/>
    <w:rsid w:val="00572988"/>
    <w:rsid w:val="005830DD"/>
    <w:rsid w:val="00583196"/>
    <w:rsid w:val="00585AD0"/>
    <w:rsid w:val="00592589"/>
    <w:rsid w:val="00595874"/>
    <w:rsid w:val="005A6BB1"/>
    <w:rsid w:val="005B1FE8"/>
    <w:rsid w:val="005B7DF1"/>
    <w:rsid w:val="005D4DD7"/>
    <w:rsid w:val="005E3E46"/>
    <w:rsid w:val="005E69E4"/>
    <w:rsid w:val="005F01D4"/>
    <w:rsid w:val="005F04FA"/>
    <w:rsid w:val="005F3CF5"/>
    <w:rsid w:val="005F5B55"/>
    <w:rsid w:val="005F60C5"/>
    <w:rsid w:val="00602AC8"/>
    <w:rsid w:val="006111C8"/>
    <w:rsid w:val="00617889"/>
    <w:rsid w:val="00620FB0"/>
    <w:rsid w:val="00626D20"/>
    <w:rsid w:val="00627666"/>
    <w:rsid w:val="00640F72"/>
    <w:rsid w:val="00642C4C"/>
    <w:rsid w:val="00643F82"/>
    <w:rsid w:val="00644F59"/>
    <w:rsid w:val="00653250"/>
    <w:rsid w:val="00653CC7"/>
    <w:rsid w:val="00657823"/>
    <w:rsid w:val="006646C3"/>
    <w:rsid w:val="00667325"/>
    <w:rsid w:val="00674A88"/>
    <w:rsid w:val="00674AD2"/>
    <w:rsid w:val="00684682"/>
    <w:rsid w:val="00685457"/>
    <w:rsid w:val="00696DF8"/>
    <w:rsid w:val="006A64E6"/>
    <w:rsid w:val="006A6A9C"/>
    <w:rsid w:val="006B0C1D"/>
    <w:rsid w:val="006B0FD7"/>
    <w:rsid w:val="006B3B72"/>
    <w:rsid w:val="006C5B4C"/>
    <w:rsid w:val="006D2686"/>
    <w:rsid w:val="006E1432"/>
    <w:rsid w:val="006E473E"/>
    <w:rsid w:val="006E769A"/>
    <w:rsid w:val="006F22FF"/>
    <w:rsid w:val="006F2EAF"/>
    <w:rsid w:val="00707A72"/>
    <w:rsid w:val="0071641F"/>
    <w:rsid w:val="007167E2"/>
    <w:rsid w:val="007225B6"/>
    <w:rsid w:val="007276DD"/>
    <w:rsid w:val="00736885"/>
    <w:rsid w:val="0074059F"/>
    <w:rsid w:val="0075012E"/>
    <w:rsid w:val="00752E6E"/>
    <w:rsid w:val="00754B23"/>
    <w:rsid w:val="007566B0"/>
    <w:rsid w:val="0075740F"/>
    <w:rsid w:val="00761844"/>
    <w:rsid w:val="00770584"/>
    <w:rsid w:val="007732BC"/>
    <w:rsid w:val="00773A32"/>
    <w:rsid w:val="0078149C"/>
    <w:rsid w:val="00782825"/>
    <w:rsid w:val="007916FB"/>
    <w:rsid w:val="0079333C"/>
    <w:rsid w:val="007946FC"/>
    <w:rsid w:val="0079689B"/>
    <w:rsid w:val="007B496A"/>
    <w:rsid w:val="007B71B9"/>
    <w:rsid w:val="007B7C40"/>
    <w:rsid w:val="007C1A95"/>
    <w:rsid w:val="007D43A0"/>
    <w:rsid w:val="007F34A7"/>
    <w:rsid w:val="00805234"/>
    <w:rsid w:val="00807EC9"/>
    <w:rsid w:val="0081492E"/>
    <w:rsid w:val="008220DB"/>
    <w:rsid w:val="00824E10"/>
    <w:rsid w:val="00825D66"/>
    <w:rsid w:val="008263DA"/>
    <w:rsid w:val="00826F5B"/>
    <w:rsid w:val="00831095"/>
    <w:rsid w:val="00837DB2"/>
    <w:rsid w:val="00840644"/>
    <w:rsid w:val="00845D5B"/>
    <w:rsid w:val="00846939"/>
    <w:rsid w:val="00853600"/>
    <w:rsid w:val="00867075"/>
    <w:rsid w:val="00870454"/>
    <w:rsid w:val="00880FFB"/>
    <w:rsid w:val="008825A1"/>
    <w:rsid w:val="0089433A"/>
    <w:rsid w:val="008A4239"/>
    <w:rsid w:val="008B64C7"/>
    <w:rsid w:val="008B79F8"/>
    <w:rsid w:val="008C6460"/>
    <w:rsid w:val="008D11C4"/>
    <w:rsid w:val="008D434E"/>
    <w:rsid w:val="008D4B74"/>
    <w:rsid w:val="008D5934"/>
    <w:rsid w:val="008D600D"/>
    <w:rsid w:val="008D6C0F"/>
    <w:rsid w:val="008D7F6C"/>
    <w:rsid w:val="008E01B2"/>
    <w:rsid w:val="00900A13"/>
    <w:rsid w:val="0090129D"/>
    <w:rsid w:val="0090395B"/>
    <w:rsid w:val="00906D12"/>
    <w:rsid w:val="009142B2"/>
    <w:rsid w:val="00915D54"/>
    <w:rsid w:val="00920E91"/>
    <w:rsid w:val="00921369"/>
    <w:rsid w:val="00921792"/>
    <w:rsid w:val="009419DF"/>
    <w:rsid w:val="00947198"/>
    <w:rsid w:val="00950B32"/>
    <w:rsid w:val="00952F74"/>
    <w:rsid w:val="00954031"/>
    <w:rsid w:val="00956332"/>
    <w:rsid w:val="009575E7"/>
    <w:rsid w:val="00970A75"/>
    <w:rsid w:val="00990D34"/>
    <w:rsid w:val="009959AE"/>
    <w:rsid w:val="009A15DC"/>
    <w:rsid w:val="009A3406"/>
    <w:rsid w:val="009A7681"/>
    <w:rsid w:val="009B17A0"/>
    <w:rsid w:val="009B2348"/>
    <w:rsid w:val="009B603A"/>
    <w:rsid w:val="009D26FA"/>
    <w:rsid w:val="009D639E"/>
    <w:rsid w:val="009D795A"/>
    <w:rsid w:val="009E5A15"/>
    <w:rsid w:val="009F1280"/>
    <w:rsid w:val="009F1BDF"/>
    <w:rsid w:val="009F1E4B"/>
    <w:rsid w:val="009F4E23"/>
    <w:rsid w:val="009F7985"/>
    <w:rsid w:val="00A02A82"/>
    <w:rsid w:val="00A04490"/>
    <w:rsid w:val="00A05E5D"/>
    <w:rsid w:val="00A06E6C"/>
    <w:rsid w:val="00A07D2D"/>
    <w:rsid w:val="00A10879"/>
    <w:rsid w:val="00A10B61"/>
    <w:rsid w:val="00A122A3"/>
    <w:rsid w:val="00A22078"/>
    <w:rsid w:val="00A24A23"/>
    <w:rsid w:val="00A25321"/>
    <w:rsid w:val="00A25721"/>
    <w:rsid w:val="00A34643"/>
    <w:rsid w:val="00A34D98"/>
    <w:rsid w:val="00A36597"/>
    <w:rsid w:val="00A444F1"/>
    <w:rsid w:val="00A533CC"/>
    <w:rsid w:val="00A566CE"/>
    <w:rsid w:val="00A60D00"/>
    <w:rsid w:val="00A62839"/>
    <w:rsid w:val="00A65C1B"/>
    <w:rsid w:val="00A66600"/>
    <w:rsid w:val="00A71CD9"/>
    <w:rsid w:val="00A71E7A"/>
    <w:rsid w:val="00A73383"/>
    <w:rsid w:val="00A73FC4"/>
    <w:rsid w:val="00A82B76"/>
    <w:rsid w:val="00A874C0"/>
    <w:rsid w:val="00A94C32"/>
    <w:rsid w:val="00AA4588"/>
    <w:rsid w:val="00AA6148"/>
    <w:rsid w:val="00AB154C"/>
    <w:rsid w:val="00AC2287"/>
    <w:rsid w:val="00AD1575"/>
    <w:rsid w:val="00AD289F"/>
    <w:rsid w:val="00AD79B9"/>
    <w:rsid w:val="00AE0156"/>
    <w:rsid w:val="00AE3BB4"/>
    <w:rsid w:val="00B003A9"/>
    <w:rsid w:val="00B010C1"/>
    <w:rsid w:val="00B027D7"/>
    <w:rsid w:val="00B145DD"/>
    <w:rsid w:val="00B17E2A"/>
    <w:rsid w:val="00B2107C"/>
    <w:rsid w:val="00B2644A"/>
    <w:rsid w:val="00B4366D"/>
    <w:rsid w:val="00B53E49"/>
    <w:rsid w:val="00B60247"/>
    <w:rsid w:val="00B61E16"/>
    <w:rsid w:val="00B62097"/>
    <w:rsid w:val="00B63157"/>
    <w:rsid w:val="00B64943"/>
    <w:rsid w:val="00B73312"/>
    <w:rsid w:val="00B82BD0"/>
    <w:rsid w:val="00BA44C1"/>
    <w:rsid w:val="00BB1891"/>
    <w:rsid w:val="00BB46B3"/>
    <w:rsid w:val="00BB4861"/>
    <w:rsid w:val="00BC11D7"/>
    <w:rsid w:val="00BC1A5F"/>
    <w:rsid w:val="00BC1FDC"/>
    <w:rsid w:val="00BC64B5"/>
    <w:rsid w:val="00BC6710"/>
    <w:rsid w:val="00BD1C2D"/>
    <w:rsid w:val="00BE3A44"/>
    <w:rsid w:val="00BE56F8"/>
    <w:rsid w:val="00C105D8"/>
    <w:rsid w:val="00C1065A"/>
    <w:rsid w:val="00C135E8"/>
    <w:rsid w:val="00C220DB"/>
    <w:rsid w:val="00C25528"/>
    <w:rsid w:val="00C32A47"/>
    <w:rsid w:val="00C32F81"/>
    <w:rsid w:val="00C36772"/>
    <w:rsid w:val="00C37572"/>
    <w:rsid w:val="00C640B1"/>
    <w:rsid w:val="00C71819"/>
    <w:rsid w:val="00C74F3B"/>
    <w:rsid w:val="00C755CE"/>
    <w:rsid w:val="00C77DD2"/>
    <w:rsid w:val="00C80C34"/>
    <w:rsid w:val="00C83923"/>
    <w:rsid w:val="00C85B31"/>
    <w:rsid w:val="00CA002F"/>
    <w:rsid w:val="00CB00F6"/>
    <w:rsid w:val="00CD6683"/>
    <w:rsid w:val="00CE7EE8"/>
    <w:rsid w:val="00CF1351"/>
    <w:rsid w:val="00CF3D6D"/>
    <w:rsid w:val="00D022D8"/>
    <w:rsid w:val="00D108D7"/>
    <w:rsid w:val="00D1239C"/>
    <w:rsid w:val="00D12D3F"/>
    <w:rsid w:val="00D1304A"/>
    <w:rsid w:val="00D14A8F"/>
    <w:rsid w:val="00D20C87"/>
    <w:rsid w:val="00D21DEE"/>
    <w:rsid w:val="00D25BB4"/>
    <w:rsid w:val="00D266AC"/>
    <w:rsid w:val="00D30554"/>
    <w:rsid w:val="00D32680"/>
    <w:rsid w:val="00D353C5"/>
    <w:rsid w:val="00D42314"/>
    <w:rsid w:val="00D506FB"/>
    <w:rsid w:val="00D52183"/>
    <w:rsid w:val="00D52F71"/>
    <w:rsid w:val="00D547C9"/>
    <w:rsid w:val="00D55E24"/>
    <w:rsid w:val="00D63FDA"/>
    <w:rsid w:val="00D7459E"/>
    <w:rsid w:val="00D74BD5"/>
    <w:rsid w:val="00D812B0"/>
    <w:rsid w:val="00DB1C7E"/>
    <w:rsid w:val="00DB2B13"/>
    <w:rsid w:val="00DC2F58"/>
    <w:rsid w:val="00DE7A58"/>
    <w:rsid w:val="00DF5DEE"/>
    <w:rsid w:val="00E044C2"/>
    <w:rsid w:val="00E04A9D"/>
    <w:rsid w:val="00E147B8"/>
    <w:rsid w:val="00E22D61"/>
    <w:rsid w:val="00E242AD"/>
    <w:rsid w:val="00E246E0"/>
    <w:rsid w:val="00E24D1F"/>
    <w:rsid w:val="00E35287"/>
    <w:rsid w:val="00E370C8"/>
    <w:rsid w:val="00E42618"/>
    <w:rsid w:val="00E42D49"/>
    <w:rsid w:val="00E51379"/>
    <w:rsid w:val="00E51753"/>
    <w:rsid w:val="00E6311B"/>
    <w:rsid w:val="00E656E6"/>
    <w:rsid w:val="00E672A4"/>
    <w:rsid w:val="00E75247"/>
    <w:rsid w:val="00E84A5C"/>
    <w:rsid w:val="00E84B7E"/>
    <w:rsid w:val="00EA0F21"/>
    <w:rsid w:val="00EA3856"/>
    <w:rsid w:val="00EB2E6F"/>
    <w:rsid w:val="00EB59C1"/>
    <w:rsid w:val="00EB5D68"/>
    <w:rsid w:val="00EC3755"/>
    <w:rsid w:val="00EC5AC1"/>
    <w:rsid w:val="00EC6CA6"/>
    <w:rsid w:val="00EE403B"/>
    <w:rsid w:val="00EE74BE"/>
    <w:rsid w:val="00EF6CB3"/>
    <w:rsid w:val="00F07608"/>
    <w:rsid w:val="00F12A25"/>
    <w:rsid w:val="00F2243F"/>
    <w:rsid w:val="00F25CB6"/>
    <w:rsid w:val="00F301EF"/>
    <w:rsid w:val="00F44BC1"/>
    <w:rsid w:val="00F46991"/>
    <w:rsid w:val="00F560AA"/>
    <w:rsid w:val="00F63600"/>
    <w:rsid w:val="00F72753"/>
    <w:rsid w:val="00F74EF5"/>
    <w:rsid w:val="00F813A9"/>
    <w:rsid w:val="00F81CAF"/>
    <w:rsid w:val="00F82FC0"/>
    <w:rsid w:val="00F832C3"/>
    <w:rsid w:val="00F858B8"/>
    <w:rsid w:val="00FA4CF6"/>
    <w:rsid w:val="00FB4D96"/>
    <w:rsid w:val="00FB6458"/>
    <w:rsid w:val="00FB76C1"/>
    <w:rsid w:val="00FC4846"/>
    <w:rsid w:val="00FD57FD"/>
    <w:rsid w:val="00FE4F2E"/>
    <w:rsid w:val="00FF0B2E"/>
    <w:rsid w:val="01D372A8"/>
    <w:rsid w:val="0D27711B"/>
    <w:rsid w:val="12D434CC"/>
    <w:rsid w:val="185959A2"/>
    <w:rsid w:val="1A653E94"/>
    <w:rsid w:val="1ECB0E79"/>
    <w:rsid w:val="209A2658"/>
    <w:rsid w:val="20F44653"/>
    <w:rsid w:val="23AE0D20"/>
    <w:rsid w:val="24666D7D"/>
    <w:rsid w:val="2E4E02DE"/>
    <w:rsid w:val="306451E4"/>
    <w:rsid w:val="33E07DD2"/>
    <w:rsid w:val="38D806EF"/>
    <w:rsid w:val="3C5B3C0A"/>
    <w:rsid w:val="42683A7F"/>
    <w:rsid w:val="458A3F67"/>
    <w:rsid w:val="45E94722"/>
    <w:rsid w:val="498D1081"/>
    <w:rsid w:val="4AE5216D"/>
    <w:rsid w:val="4CDE288E"/>
    <w:rsid w:val="4E9C3F21"/>
    <w:rsid w:val="52252F25"/>
    <w:rsid w:val="5EC23124"/>
    <w:rsid w:val="6033204C"/>
    <w:rsid w:val="608F34D9"/>
    <w:rsid w:val="6A064AD4"/>
    <w:rsid w:val="6D927D9C"/>
    <w:rsid w:val="79300670"/>
    <w:rsid w:val="7EF9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0"/>
    <w:qFormat/>
    <w:uiPriority w:val="1"/>
    <w:pPr>
      <w:autoSpaceDE w:val="0"/>
      <w:autoSpaceDN w:val="0"/>
      <w:ind w:left="680"/>
      <w:jc w:val="left"/>
      <w:outlineLvl w:val="1"/>
    </w:pPr>
    <w:rPr>
      <w:rFonts w:ascii="宋体" w:hAnsi="宋体" w:cs="宋体"/>
      <w:b/>
      <w:bCs/>
      <w:kern w:val="0"/>
      <w:sz w:val="28"/>
      <w:szCs w:val="28"/>
      <w:lang w:eastAsia="en-US"/>
    </w:rPr>
  </w:style>
  <w:style w:type="paragraph" w:styleId="3">
    <w:name w:val="heading 4"/>
    <w:basedOn w:val="1"/>
    <w:next w:val="1"/>
    <w:unhideWhenUsed/>
    <w:qFormat/>
    <w:uiPriority w:val="9"/>
    <w:pPr>
      <w:keepNext/>
      <w:keepLines/>
      <w:spacing w:before="120"/>
      <w:outlineLvl w:val="3"/>
    </w:pPr>
    <w:rPr>
      <w:rFonts w:ascii="Calibri Light" w:hAnsi="Calibri Light"/>
      <w:b/>
      <w:b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1"/>
    <w:pPr>
      <w:autoSpaceDE w:val="0"/>
      <w:autoSpaceDN w:val="0"/>
      <w:jc w:val="left"/>
    </w:pPr>
    <w:rPr>
      <w:rFonts w:ascii="仿宋" w:hAnsi="仿宋" w:eastAsia="仿宋" w:cs="仿宋"/>
      <w:kern w:val="0"/>
      <w:sz w:val="28"/>
      <w:szCs w:val="28"/>
      <w:lang w:eastAsia="en-US"/>
    </w:r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rFonts w:hint="eastAsia" w:ascii="宋体" w:hAnsi="宋体" w:eastAsia="宋体" w:cs="宋体"/>
      <w:color w:val="000000"/>
      <w:spacing w:val="0"/>
      <w:sz w:val="18"/>
      <w:szCs w:val="18"/>
      <w:u w:val="none"/>
    </w:rPr>
  </w:style>
  <w:style w:type="character" w:styleId="13">
    <w:name w:val="Emphasis"/>
    <w:basedOn w:val="11"/>
    <w:qFormat/>
    <w:uiPriority w:val="20"/>
  </w:style>
  <w:style w:type="character" w:styleId="14">
    <w:name w:val="Hyperlink"/>
    <w:basedOn w:val="11"/>
    <w:semiHidden/>
    <w:unhideWhenUsed/>
    <w:qFormat/>
    <w:uiPriority w:val="99"/>
    <w:rPr>
      <w:rFonts w:hint="eastAsia" w:ascii="宋体" w:hAnsi="宋体" w:eastAsia="宋体" w:cs="宋体"/>
      <w:color w:val="000000"/>
      <w:spacing w:val="0"/>
      <w:sz w:val="18"/>
      <w:szCs w:val="18"/>
      <w:u w:val="none"/>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styleId="17">
    <w:name w:val="List Paragraph"/>
    <w:basedOn w:val="1"/>
    <w:qFormat/>
    <w:uiPriority w:val="99"/>
    <w:pPr>
      <w:ind w:firstLine="420" w:firstLineChars="200"/>
    </w:pPr>
  </w:style>
  <w:style w:type="character" w:customStyle="1" w:styleId="18">
    <w:name w:val="批注框文本 Char"/>
    <w:basedOn w:val="11"/>
    <w:link w:val="5"/>
    <w:semiHidden/>
    <w:qFormat/>
    <w:uiPriority w:val="99"/>
    <w:rPr>
      <w:rFonts w:ascii="Calibri" w:hAnsi="Calibri" w:eastAsia="宋体" w:cs="Times New Roman"/>
      <w:kern w:val="2"/>
      <w:sz w:val="18"/>
      <w:szCs w:val="18"/>
    </w:rPr>
  </w:style>
  <w:style w:type="character" w:customStyle="1" w:styleId="19">
    <w:name w:val="正文文本 Char"/>
    <w:basedOn w:val="11"/>
    <w:link w:val="4"/>
    <w:qFormat/>
    <w:uiPriority w:val="1"/>
    <w:rPr>
      <w:rFonts w:ascii="仿宋" w:hAnsi="仿宋" w:eastAsia="仿宋" w:cs="仿宋"/>
      <w:sz w:val="28"/>
      <w:szCs w:val="28"/>
      <w:lang w:eastAsia="en-US"/>
    </w:rPr>
  </w:style>
  <w:style w:type="character" w:customStyle="1" w:styleId="20">
    <w:name w:val="标题 2 Char"/>
    <w:basedOn w:val="11"/>
    <w:link w:val="2"/>
    <w:qFormat/>
    <w:uiPriority w:val="1"/>
    <w:rPr>
      <w:rFonts w:ascii="宋体" w:hAnsi="宋体" w:eastAsia="宋体" w:cs="宋体"/>
      <w:b/>
      <w:bCs/>
      <w:sz w:val="28"/>
      <w:szCs w:val="28"/>
      <w:lang w:eastAsia="en-US"/>
    </w:rPr>
  </w:style>
  <w:style w:type="table" w:customStyle="1" w:styleId="2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3">
    <w:name w:val="font01"/>
    <w:basedOn w:val="11"/>
    <w:qFormat/>
    <w:uiPriority w:val="0"/>
    <w:rPr>
      <w:rFonts w:hint="default" w:ascii="仿宋_GB2312" w:eastAsia="仿宋_GB2312" w:cs="仿宋_GB2312"/>
      <w:color w:val="FF0000"/>
      <w:sz w:val="20"/>
      <w:szCs w:val="20"/>
      <w:u w:val="none"/>
    </w:rPr>
  </w:style>
  <w:style w:type="character" w:customStyle="1" w:styleId="24">
    <w:name w:val="font31"/>
    <w:basedOn w:val="11"/>
    <w:qFormat/>
    <w:uiPriority w:val="0"/>
    <w:rPr>
      <w:rFonts w:hint="default" w:ascii="仿宋_GB2312" w:eastAsia="仿宋_GB2312" w:cs="仿宋_GB2312"/>
      <w:color w:val="000000"/>
      <w:sz w:val="20"/>
      <w:szCs w:val="20"/>
      <w:u w:val="none"/>
    </w:rPr>
  </w:style>
  <w:style w:type="character" w:customStyle="1" w:styleId="25">
    <w:name w:val="font11"/>
    <w:basedOn w:val="11"/>
    <w:qFormat/>
    <w:uiPriority w:val="0"/>
    <w:rPr>
      <w:rFonts w:hint="eastAsia" w:ascii="宋体" w:hAnsi="宋体" w:eastAsia="宋体" w:cs="宋体"/>
      <w:b/>
      <w:color w:val="000000"/>
      <w:sz w:val="20"/>
      <w:szCs w:val="20"/>
      <w:u w:val="none"/>
    </w:rPr>
  </w:style>
  <w:style w:type="character" w:customStyle="1" w:styleId="26">
    <w:name w:val="price"/>
    <w:basedOn w:val="11"/>
    <w:qFormat/>
    <w:uiPriority w:val="0"/>
    <w:rPr>
      <w:b/>
      <w:color w:val="FF0000"/>
      <w:sz w:val="27"/>
      <w:szCs w:val="27"/>
    </w:rPr>
  </w:style>
  <w:style w:type="character" w:customStyle="1" w:styleId="27">
    <w:name w:val="n2"/>
    <w:basedOn w:val="11"/>
    <w:qFormat/>
    <w:uiPriority w:val="0"/>
  </w:style>
  <w:style w:type="character" w:customStyle="1" w:styleId="28">
    <w:name w:val="newslist_time"/>
    <w:basedOn w:val="11"/>
    <w:qFormat/>
    <w:uiPriority w:val="0"/>
  </w:style>
  <w:style w:type="character" w:customStyle="1" w:styleId="29">
    <w:name w:val="newslist_time1"/>
    <w:basedOn w:val="11"/>
    <w:qFormat/>
    <w:uiPriority w:val="0"/>
  </w:style>
  <w:style w:type="character" w:customStyle="1" w:styleId="30">
    <w:name w:val="newslist_time2"/>
    <w:basedOn w:val="11"/>
    <w:qFormat/>
    <w:uiPriority w:val="0"/>
    <w:rPr>
      <w:color w:val="666666"/>
    </w:rPr>
  </w:style>
  <w:style w:type="character" w:customStyle="1" w:styleId="31">
    <w:name w:val="n1"/>
    <w:basedOn w:val="11"/>
    <w:qFormat/>
    <w:uiPriority w:val="0"/>
  </w:style>
  <w:style w:type="character" w:customStyle="1" w:styleId="32">
    <w:name w:val="curr"/>
    <w:basedOn w:val="11"/>
    <w:qFormat/>
    <w:uiPriority w:val="0"/>
    <w:rPr>
      <w:bdr w:val="single" w:color="FF6701" w:sz="6" w:space="0"/>
      <w:shd w:val="clear" w:color="auto" w:fill="FFFFFF"/>
    </w:rPr>
  </w:style>
  <w:style w:type="character" w:customStyle="1" w:styleId="33">
    <w:name w:val="n4"/>
    <w:basedOn w:val="11"/>
    <w:qFormat/>
    <w:uiPriority w:val="0"/>
  </w:style>
  <w:style w:type="character" w:customStyle="1" w:styleId="34">
    <w:name w:val="more"/>
    <w:basedOn w:val="11"/>
    <w:qFormat/>
    <w:uiPriority w:val="0"/>
  </w:style>
  <w:style w:type="character" w:customStyle="1" w:styleId="35">
    <w:name w:val="more1"/>
    <w:basedOn w:val="11"/>
    <w:qFormat/>
    <w:uiPriority w:val="0"/>
  </w:style>
  <w:style w:type="character" w:customStyle="1" w:styleId="36">
    <w:name w:val="more2"/>
    <w:basedOn w:val="11"/>
    <w:qFormat/>
    <w:uiPriority w:val="0"/>
  </w:style>
  <w:style w:type="character" w:customStyle="1" w:styleId="37">
    <w:name w:val="more3"/>
    <w:basedOn w:val="11"/>
    <w:qFormat/>
    <w:uiPriority w:val="0"/>
  </w:style>
  <w:style w:type="character" w:customStyle="1" w:styleId="38">
    <w:name w:val="txt"/>
    <w:basedOn w:val="11"/>
    <w:qFormat/>
    <w:uiPriority w:val="0"/>
    <w:rPr>
      <w:rFonts w:ascii="Arial" w:hAnsi="Arial" w:cs="Arial"/>
      <w:color w:val="646464"/>
      <w:bdr w:val="single" w:color="C9C8CE" w:sz="6" w:space="0"/>
      <w:shd w:val="clear" w:color="auto" w:fill="FFFFFF"/>
    </w:rPr>
  </w:style>
  <w:style w:type="character" w:customStyle="1" w:styleId="39">
    <w:name w:val="item-name"/>
    <w:basedOn w:val="11"/>
    <w:qFormat/>
    <w:uiPriority w:val="0"/>
  </w:style>
  <w:style w:type="character" w:customStyle="1" w:styleId="40">
    <w:name w:val="item-name1"/>
    <w:basedOn w:val="11"/>
    <w:qFormat/>
    <w:uiPriority w:val="0"/>
  </w:style>
  <w:style w:type="character" w:customStyle="1" w:styleId="41">
    <w:name w:val="n10"/>
    <w:basedOn w:val="11"/>
    <w:qFormat/>
    <w:uiPriority w:val="0"/>
  </w:style>
  <w:style w:type="character" w:customStyle="1" w:styleId="42">
    <w:name w:val="n3"/>
    <w:basedOn w:val="11"/>
    <w:qFormat/>
    <w:uiPriority w:val="0"/>
  </w:style>
  <w:style w:type="character" w:customStyle="1" w:styleId="43">
    <w:name w:val="n5"/>
    <w:basedOn w:val="11"/>
    <w:qFormat/>
    <w:uiPriority w:val="0"/>
  </w:style>
  <w:style w:type="character" w:customStyle="1" w:styleId="44">
    <w:name w:val="n6"/>
    <w:basedOn w:val="11"/>
    <w:qFormat/>
    <w:uiPriority w:val="0"/>
  </w:style>
  <w:style w:type="character" w:customStyle="1" w:styleId="45">
    <w:name w:val="n7"/>
    <w:basedOn w:val="11"/>
    <w:qFormat/>
    <w:uiPriority w:val="0"/>
  </w:style>
  <w:style w:type="character" w:customStyle="1" w:styleId="46">
    <w:name w:val="n8"/>
    <w:basedOn w:val="11"/>
    <w:qFormat/>
    <w:uiPriority w:val="0"/>
  </w:style>
  <w:style w:type="character" w:customStyle="1" w:styleId="47">
    <w:name w:val="n9"/>
    <w:basedOn w:val="11"/>
    <w:qFormat/>
    <w:uiPriority w:val="0"/>
  </w:style>
  <w:style w:type="character" w:customStyle="1" w:styleId="48">
    <w:name w:val="ddmove"/>
    <w:basedOn w:val="11"/>
    <w:qFormat/>
    <w:uiPriority w:val="0"/>
    <w:rPr>
      <w:rFonts w:hint="default" w:ascii="Verdana" w:hAnsi="Verdana" w:cs="Verdana"/>
      <w:color w:val="999999"/>
      <w:sz w:val="13"/>
      <w:szCs w:val="13"/>
      <w:u w:val="none"/>
    </w:rPr>
  </w:style>
  <w:style w:type="character" w:customStyle="1" w:styleId="49">
    <w:name w:val="share"/>
    <w:basedOn w:val="11"/>
    <w:qFormat/>
    <w:uiPriority w:val="0"/>
  </w:style>
  <w:style w:type="character" w:customStyle="1" w:styleId="50">
    <w:name w:val="tagico"/>
    <w:basedOn w:val="11"/>
    <w:qFormat/>
    <w:uiPriority w:val="0"/>
  </w:style>
  <w:style w:type="character" w:customStyle="1" w:styleId="51">
    <w:name w:val="hits"/>
    <w:basedOn w:val="11"/>
    <w:qFormat/>
    <w:uiPriority w:val="0"/>
  </w:style>
  <w:style w:type="character" w:customStyle="1" w:styleId="52">
    <w:name w:val="pinglun"/>
    <w:basedOn w:val="11"/>
    <w:qFormat/>
    <w:uiPriority w:val="0"/>
  </w:style>
  <w:style w:type="character" w:customStyle="1" w:styleId="53">
    <w:name w:val="r"/>
    <w:basedOn w:val="11"/>
    <w:qFormat/>
    <w:uiPriority w:val="0"/>
  </w:style>
  <w:style w:type="character" w:customStyle="1" w:styleId="54">
    <w:name w:val="more4"/>
    <w:basedOn w:val="11"/>
    <w:qFormat/>
    <w:uiPriority w:val="0"/>
  </w:style>
  <w:style w:type="character" w:customStyle="1" w:styleId="55">
    <w:name w:val="more5"/>
    <w:basedOn w:val="11"/>
    <w:qFormat/>
    <w:uiPriority w:val="0"/>
  </w:style>
  <w:style w:type="character" w:customStyle="1" w:styleId="56">
    <w:name w:val="more6"/>
    <w:basedOn w:val="11"/>
    <w:qFormat/>
    <w:uiPriority w:val="0"/>
  </w:style>
  <w:style w:type="character" w:customStyle="1" w:styleId="57">
    <w:name w:val="more7"/>
    <w:basedOn w:val="11"/>
    <w:qFormat/>
    <w:uiPriority w:val="0"/>
  </w:style>
  <w:style w:type="character" w:customStyle="1" w:styleId="58">
    <w:name w:val="txt2"/>
    <w:basedOn w:val="11"/>
    <w:qFormat/>
    <w:uiPriority w:val="0"/>
    <w:rPr>
      <w:rFonts w:ascii="Arial" w:hAnsi="Arial" w:cs="Arial"/>
      <w:color w:val="646464"/>
      <w:bdr w:val="single" w:color="C9C8CE" w:sz="6" w:space="0"/>
      <w:shd w:val="clear" w:color="auto" w:fill="FFFFFF"/>
    </w:rPr>
  </w:style>
  <w:style w:type="paragraph" w:customStyle="1" w:styleId="5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60">
    <w:name w:val="样式1"/>
    <w:basedOn w:val="1"/>
    <w:link w:val="61"/>
    <w:qFormat/>
    <w:uiPriority w:val="0"/>
    <w:pPr>
      <w:widowControl/>
      <w:spacing w:line="360" w:lineRule="auto"/>
    </w:pPr>
    <w:rPr>
      <w:rFonts w:ascii="Times New Roman" w:hAnsi="Times New Roman" w:cs="宋体"/>
      <w:color w:val="000000" w:themeColor="text1"/>
      <w:kern w:val="0"/>
      <w:sz w:val="24"/>
      <w14:textFill>
        <w14:solidFill>
          <w14:schemeClr w14:val="tx1"/>
        </w14:solidFill>
      </w14:textFill>
    </w:rPr>
  </w:style>
  <w:style w:type="character" w:customStyle="1" w:styleId="61">
    <w:name w:val="样式1 Char"/>
    <w:basedOn w:val="11"/>
    <w:link w:val="60"/>
    <w:qFormat/>
    <w:uiPriority w:val="0"/>
    <w:rPr>
      <w:rFonts w:ascii="Times New Roman" w:hAnsi="Times New Roman" w:eastAsia="宋体" w:cs="宋体"/>
      <w:color w:val="000000" w:themeColor="text1"/>
      <w:sz w:val="24"/>
      <w:szCs w:val="24"/>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D543-D176-41DC-94A6-9707D7D8925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15634</Words>
  <Characters>16595</Characters>
  <Lines>148</Lines>
  <Paragraphs>41</Paragraphs>
  <TotalTime>6</TotalTime>
  <ScaleCrop>false</ScaleCrop>
  <LinksUpToDate>false</LinksUpToDate>
  <CharactersWithSpaces>16703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2020-01-11T09:09:00Z</dcterms:created>
  <dc:creator>xtzj</dc:creator>
  <cp:lastModifiedBy>WPS_1337374391</cp:lastModifiedBy>
  <cp:lastPrinted>2020-05-14T09:09:00Z</cp:lastPrinted>
  <dcterms:modified xsi:type="dcterms:W3CDTF">2023-09-21T10:14:03Z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BAA2F2F0F8C74821A993EDB41DC87ED9_13</vt:lpwstr>
  </property>
</Properties>
</file>